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840" w:rightChars="400"/>
        <w:jc w:val="left"/>
        <w:rPr>
          <w:rFonts w:hint="eastAsia" w:ascii="仿宋_GB2312" w:hAnsi="楷体" w:eastAsia="仿宋_GB2312" w:cs="Times New Roman"/>
          <w:color w:val="auto"/>
          <w:sz w:val="32"/>
          <w:szCs w:val="32"/>
        </w:rPr>
      </w:pPr>
      <w:r>
        <w:rPr>
          <w:rFonts w:hint="eastAsia" w:ascii="仿宋_GB2312" w:hAnsi="楷体" w:eastAsia="仿宋_GB2312" w:cs="Times New Roman"/>
          <w:color w:val="auto"/>
          <w:sz w:val="32"/>
          <w:szCs w:val="32"/>
        </w:rPr>
        <w:t>附件2：</w:t>
      </w:r>
    </w:p>
    <w:p>
      <w:pPr>
        <w:spacing w:line="520" w:lineRule="exact"/>
        <w:ind w:right="840" w:rightChars="4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综合评分法评分细则</w:t>
      </w:r>
    </w:p>
    <w:p>
      <w:pPr>
        <w:spacing w:line="520" w:lineRule="exact"/>
        <w:ind w:right="840" w:rightChars="400"/>
        <w:jc w:val="left"/>
        <w:rPr>
          <w:rFonts w:hint="eastAsia" w:ascii="仿宋_GB2312" w:hAnsi="华文楷体"/>
          <w:szCs w:val="32"/>
        </w:rPr>
      </w:pP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（一）报价人的技术商务文件、投标报价两部分内容按百分制打分，其中技术商务部分A：100分 权重R1=0.70；投标报价 B: 100分 权重R2=0.3；上述权重R1+R2 =1。</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sz w:val="24"/>
          <w:szCs w:val="24"/>
        </w:rPr>
      </w:pPr>
      <w:bookmarkStart w:id="0" w:name="_Hlk66830839"/>
      <w:r>
        <w:rPr>
          <w:rFonts w:hint="eastAsia" w:ascii="仿宋_GB2312" w:hAnsi="仿宋_GB2312" w:eastAsia="仿宋_GB2312" w:cs="仿宋_GB2312"/>
          <w:sz w:val="24"/>
          <w:szCs w:val="24"/>
        </w:rPr>
        <w:t>报价人综合得分=A×R1+B×R2。</w:t>
      </w:r>
    </w:p>
    <w:bookmarkEnd w:id="0"/>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（二）评分细则：（按四舍五入取至小数点后两位）</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1.投标报价………………………………………………………………………………100分</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（1）报价有效范围：为总报价低于或等于采购上控价，且经评标小组审定为合理的报价。报价不在有效报价范围内的，报价无效，不再进行详细评审。</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报价合理性评审：评标小组认为报价人的报价明显低于其他报价人的报价，有可能影响服务质量或者不能诚信履约的，可要求其在合理的时间内提供书面说明，必要时提交相关证明材料；报价人不能证明其报价合理性的，评标小组应当将其作为无效投标处理。</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（3）以进入评标的最低的报价为100分。</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有效报价人最低报价金额</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mc:AlternateContent>
          <mc:Choice Requires="wps">
            <w:drawing>
              <wp:anchor distT="0" distB="0" distL="114300" distR="114300" simplePos="0" relativeHeight="251659264" behindDoc="0" locked="0" layoutInCell="1" allowOverlap="1">
                <wp:simplePos x="0" y="0"/>
                <wp:positionH relativeFrom="column">
                  <wp:posOffset>1727200</wp:posOffset>
                </wp:positionH>
                <wp:positionV relativeFrom="paragraph">
                  <wp:posOffset>132080</wp:posOffset>
                </wp:positionV>
                <wp:extent cx="2131695" cy="6985"/>
                <wp:effectExtent l="0" t="0" r="20955" b="31115"/>
                <wp:wrapNone/>
                <wp:docPr id="2" name="直接连接符 2"/>
                <wp:cNvGraphicFramePr/>
                <a:graphic xmlns:a="http://schemas.openxmlformats.org/drawingml/2006/main">
                  <a:graphicData uri="http://schemas.microsoft.com/office/word/2010/wordprocessingShape">
                    <wps:wsp>
                      <wps:cNvCnPr/>
                      <wps:spPr>
                        <a:xfrm flipV="1">
                          <a:off x="0" y="0"/>
                          <a:ext cx="2131695" cy="69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36pt;margin-top:10.4pt;height:0.55pt;width:167.85pt;z-index:251659264;mso-width-relative:page;mso-height-relative:page;" filled="f" stroked="t" coordsize="21600,21600" o:gfxdata="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rL1zNcAAAAJAQAADwAAAAAA&#10;AAABACAAAAAiAAAAZHJzL2Rvd25yZXYueG1sUEsBAhQAFAAAAAgAh07iQE9OOwPbAQAAlwMAAA4A&#10;AAAAAAAAAQAgAAAAJgEAAGRycy9lMm9Eb2MueG1sUEsFBgAAAAAGAAYAWQEAAHMFAAAAAA==&#10;">
                <v:fill on="f" focussize="0,0"/>
                <v:stroke color="#000000" joinstyle="round"/>
                <v:imagedata o:title=""/>
                <o:lock v:ext="edit" aspectratio="f"/>
              </v:line>
            </w:pict>
          </mc:Fallback>
        </mc:AlternateContent>
      </w:r>
      <w:r>
        <w:rPr>
          <w:rFonts w:hint="eastAsia" w:ascii="仿宋_GB2312" w:hAnsi="仿宋_GB2312" w:eastAsia="仿宋_GB2312" w:cs="仿宋_GB2312"/>
          <w:sz w:val="24"/>
          <w:szCs w:val="24"/>
        </w:rPr>
        <w:t>（4）某报价人价格分  =                                ×100分</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某报价人报价金额</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2.技术</w:t>
      </w:r>
      <w:r>
        <w:rPr>
          <w:rFonts w:hint="eastAsia" w:ascii="仿宋_GB2312" w:hAnsi="仿宋_GB2312" w:eastAsia="仿宋_GB2312" w:cs="仿宋_GB2312"/>
          <w:b/>
          <w:sz w:val="24"/>
          <w:szCs w:val="24"/>
          <w:lang w:val="en-US" w:eastAsia="zh-CN"/>
        </w:rPr>
        <w:t>商务</w:t>
      </w:r>
      <w:r>
        <w:rPr>
          <w:rFonts w:hint="eastAsia" w:ascii="仿宋_GB2312" w:hAnsi="仿宋_GB2312" w:eastAsia="仿宋_GB2312" w:cs="仿宋_GB2312"/>
          <w:b/>
          <w:sz w:val="24"/>
          <w:szCs w:val="24"/>
        </w:rPr>
        <w:t>分……………………………………………………………………………100分</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视频综合管理平台系统设计方案（50分）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根据</w:t>
      </w:r>
      <w:r>
        <w:rPr>
          <w:rFonts w:hint="eastAsia" w:ascii="仿宋_GB2312" w:hAnsi="仿宋_GB2312" w:eastAsia="仿宋_GB2312" w:cs="仿宋_GB2312"/>
          <w:bCs/>
          <w:sz w:val="24"/>
          <w:szCs w:val="24"/>
        </w:rPr>
        <w:t>总体系统解决方案：包含但不限于全部建设功能、视频接入功能、录像存储及转发功能、事件分发功能、多系统的联动管理功能、人工智能技术功能、移动接入功能及定制开发、运维管理功能等，与其他系统进行数据交互、对接等二次开发方案，平台系统的运行解决方案等</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确定各报价人各所属等级并在相应档次内打分。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一档</w:t>
      </w:r>
      <w:r>
        <w:rPr>
          <w:rFonts w:hint="eastAsia" w:ascii="仿宋_GB2312" w:hAnsi="仿宋_GB2312" w:eastAsia="仿宋_GB2312" w:cs="仿宋_GB2312"/>
          <w:sz w:val="24"/>
          <w:szCs w:val="24"/>
        </w:rPr>
        <w:t>（25.1-50分）</w:t>
      </w:r>
      <w:r>
        <w:rPr>
          <w:rFonts w:hint="eastAsia" w:ascii="仿宋_GB2312" w:hAnsi="仿宋_GB2312" w:eastAsia="仿宋_GB2312" w:cs="仿宋_GB2312"/>
          <w:bCs/>
          <w:sz w:val="24"/>
          <w:szCs w:val="24"/>
        </w:rPr>
        <w:t>：报价人提供总体系统解决方案，全部建设功能、视频接入功能、录像存储及转发功能、事件分发功能、多系统的联动管理功能、人工智能技术功能、移动接入功能及定制开发、运维管理功能等，与其他系统进行数据交互、对接等二次开发方案，平台系统的运行解决方案，视频管理平台研发厂家实力强，具备信息系统服务交付能力评估一级资质（5星级），软件产品厂商获得“中国最具影响力软件和信息服务企业证书”的（提供复印件，原件备查）。</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二档</w:t>
      </w:r>
      <w:r>
        <w:rPr>
          <w:rFonts w:hint="eastAsia" w:ascii="仿宋_GB2312" w:hAnsi="仿宋_GB2312" w:eastAsia="仿宋_GB2312" w:cs="仿宋_GB2312"/>
          <w:sz w:val="24"/>
          <w:szCs w:val="24"/>
        </w:rPr>
        <w:t>（5.1-25分）</w:t>
      </w:r>
      <w:r>
        <w:rPr>
          <w:rFonts w:hint="eastAsia" w:ascii="仿宋_GB2312" w:hAnsi="仿宋_GB2312" w:eastAsia="仿宋_GB2312" w:cs="仿宋_GB2312"/>
          <w:bCs/>
          <w:sz w:val="24"/>
          <w:szCs w:val="24"/>
        </w:rPr>
        <w:t>：报价人提供总体系统解决方案，全部建设功能、视频接入功能、录像存储及转发功能、事件分发功能、多系统的联动管理功能、人工智能技术功能、移动接入功能及定制开发、运维管理功能等，与其他系统进行数据交互、对接等二次开发方案，平台系统的运行解决方案。</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三档</w:t>
      </w:r>
      <w:r>
        <w:rPr>
          <w:rFonts w:hint="eastAsia" w:ascii="仿宋_GB2312" w:hAnsi="仿宋_GB2312" w:eastAsia="仿宋_GB2312" w:cs="仿宋_GB2312"/>
          <w:sz w:val="24"/>
          <w:szCs w:val="24"/>
        </w:rPr>
        <w:t>（0-5分）</w:t>
      </w:r>
      <w:r>
        <w:rPr>
          <w:rFonts w:hint="eastAsia" w:ascii="仿宋_GB2312" w:hAnsi="仿宋_GB2312" w:eastAsia="仿宋_GB2312" w:cs="仿宋_GB2312"/>
          <w:bCs/>
          <w:sz w:val="24"/>
          <w:szCs w:val="24"/>
        </w:rPr>
        <w:t xml:space="preserve">：报价人提供的总体系统解决方案简单。 </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实施进度计划（15分）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具有完善、合理且符合实际情况的实施计划、进度计划。</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一档</w:t>
      </w:r>
      <w:r>
        <w:rPr>
          <w:rFonts w:hint="eastAsia" w:ascii="仿宋_GB2312" w:hAnsi="仿宋_GB2312" w:eastAsia="仿宋_GB2312" w:cs="仿宋_GB2312"/>
          <w:sz w:val="24"/>
          <w:szCs w:val="24"/>
        </w:rPr>
        <w:t>（8.1-15分）</w:t>
      </w:r>
      <w:r>
        <w:rPr>
          <w:rFonts w:hint="eastAsia" w:ascii="仿宋_GB2312" w:hAnsi="仿宋_GB2312" w:eastAsia="仿宋_GB2312" w:cs="仿宋_GB2312"/>
          <w:bCs/>
          <w:sz w:val="24"/>
          <w:szCs w:val="24"/>
        </w:rPr>
        <w:t>：具有完善、合理且符合实际情况的实施计划、进度计划，且投入项目的工程师数量不少于5人（含）（需提供人员竞标截止日前半年内任意三个月缴纳社保证明），项目进度计划在50（含）个自然日内完成项目建设。</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二档</w:t>
      </w:r>
      <w:r>
        <w:rPr>
          <w:rFonts w:hint="eastAsia" w:ascii="仿宋_GB2312" w:hAnsi="仿宋_GB2312" w:eastAsia="仿宋_GB2312" w:cs="仿宋_GB2312"/>
          <w:sz w:val="24"/>
          <w:szCs w:val="24"/>
        </w:rPr>
        <w:t>（4.1-8分）</w:t>
      </w:r>
      <w:r>
        <w:rPr>
          <w:rFonts w:hint="eastAsia" w:ascii="仿宋_GB2312" w:hAnsi="仿宋_GB2312" w:eastAsia="仿宋_GB2312" w:cs="仿宋_GB2312"/>
          <w:bCs/>
          <w:sz w:val="24"/>
          <w:szCs w:val="24"/>
        </w:rPr>
        <w:t>：具有符合实际情况的实施计划、进度计划，且投入项目的工程师数量5人（不含）以下（需提供人员投标截止日前半年内任意三个月缴纳社保证明），项目进度计划在60个自然日内完成项目建设的。</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三档</w:t>
      </w:r>
      <w:r>
        <w:rPr>
          <w:rFonts w:hint="eastAsia" w:ascii="仿宋_GB2312" w:hAnsi="仿宋_GB2312" w:eastAsia="仿宋_GB2312" w:cs="仿宋_GB2312"/>
          <w:sz w:val="24"/>
          <w:szCs w:val="24"/>
        </w:rPr>
        <w:t>（0-4分）</w:t>
      </w:r>
      <w:r>
        <w:rPr>
          <w:rFonts w:hint="eastAsia" w:ascii="仿宋_GB2312" w:hAnsi="仿宋_GB2312" w:eastAsia="仿宋_GB2312" w:cs="仿宋_GB2312"/>
          <w:bCs/>
          <w:sz w:val="24"/>
          <w:szCs w:val="24"/>
        </w:rPr>
        <w:t>：具有简单的实施计划、进度计划但不完善，且投入项目的工程师数量5人以下（需提供人员投标截止日前半年内任意三个月缴纳社保证明），项目进度计划60（含）个自然日以上完成项目建设的得。</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售后服务及培训方案（10分）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售后服务：报价人售后服务方案的合理可行，质保期服务措施，售后服务人员安排，报价人培训方案的针对性，培训计划详细、周到、可行，是否能落到实处（满分10分），评标小组根据方案</w:t>
      </w:r>
      <w:r>
        <w:rPr>
          <w:rFonts w:hint="eastAsia" w:ascii="仿宋_GB2312" w:hAnsi="仿宋_GB2312" w:eastAsia="仿宋_GB2312" w:cs="仿宋_GB2312"/>
          <w:sz w:val="24"/>
          <w:szCs w:val="24"/>
        </w:rPr>
        <w:t>确定各报价人各所属等级并在相应档次内打分。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一档</w:t>
      </w:r>
      <w:r>
        <w:rPr>
          <w:rFonts w:hint="eastAsia" w:ascii="仿宋_GB2312" w:hAnsi="仿宋_GB2312" w:eastAsia="仿宋_GB2312" w:cs="仿宋_GB2312"/>
          <w:sz w:val="24"/>
          <w:szCs w:val="24"/>
        </w:rPr>
        <w:t>（5.1-10分）</w:t>
      </w:r>
      <w:r>
        <w:rPr>
          <w:rFonts w:hint="eastAsia" w:ascii="仿宋_GB2312" w:hAnsi="仿宋_GB2312" w:eastAsia="仿宋_GB2312" w:cs="仿宋_GB2312"/>
          <w:bCs/>
          <w:sz w:val="24"/>
          <w:szCs w:val="24"/>
        </w:rPr>
        <w:t>：有完善的售后服务内容和承诺、提出了质保期的服务措施，对本项目有针对性的完善，并提供一年（含）及以上免费技术现场支持服务、电话支持响应7×24及以上的，有完善的培训方案，培训计划详细、周到、可行，提供针对水务系统使用和相关的业务知识定制化的培训课程及时间安排的得10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二档</w:t>
      </w:r>
      <w:r>
        <w:rPr>
          <w:rFonts w:hint="eastAsia" w:ascii="仿宋_GB2312" w:hAnsi="仿宋_GB2312" w:eastAsia="仿宋_GB2312" w:cs="仿宋_GB2312"/>
          <w:sz w:val="24"/>
          <w:szCs w:val="24"/>
        </w:rPr>
        <w:t>（1.1-5分）</w:t>
      </w:r>
      <w:r>
        <w:rPr>
          <w:rFonts w:hint="eastAsia" w:ascii="仿宋_GB2312" w:hAnsi="仿宋_GB2312" w:eastAsia="仿宋_GB2312" w:cs="仿宋_GB2312"/>
          <w:bCs/>
          <w:sz w:val="24"/>
          <w:szCs w:val="24"/>
        </w:rPr>
        <w:t>：售后服务内容和承诺及质保期的服务措施合理，提供一年免费技术现场支持服务、电话支持响应7×24及以上的，有简单的培训方案，提供合理的培训课程及时间安排。</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三档</w:t>
      </w:r>
      <w:r>
        <w:rPr>
          <w:rFonts w:hint="eastAsia" w:ascii="仿宋_GB2312" w:hAnsi="仿宋_GB2312" w:eastAsia="仿宋_GB2312" w:cs="仿宋_GB2312"/>
          <w:sz w:val="24"/>
          <w:szCs w:val="24"/>
        </w:rPr>
        <w:t>（0-1分）</w:t>
      </w:r>
      <w:r>
        <w:rPr>
          <w:rFonts w:hint="eastAsia" w:ascii="仿宋_GB2312" w:hAnsi="仿宋_GB2312" w:eastAsia="仿宋_GB2312" w:cs="仿宋_GB2312"/>
          <w:bCs/>
          <w:sz w:val="24"/>
          <w:szCs w:val="24"/>
        </w:rPr>
        <w:t>：售后服务内容和承诺、质保期的服务措施简单，提供一年免费技术现场支持服务、电话支持响应7×8及以上的，培训方案、培训课程和时间安排不完善的，得1分；不提供得0分。</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(4)</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sz w:val="24"/>
          <w:szCs w:val="24"/>
        </w:rPr>
        <w:t>企业能力及保证体系（5分）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（1）报价人具有视频综合管理平台系统软件著作权登记证书的得1分；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（2）报价人具有视频智能分析系统登记著作权证书的得1分；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（3）报价人具有ISO9001质量管理体系认证得1分；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（4）报价人具有ISO14001环境管理体系认证得1分；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（5）报价人具有ITSS信息技术服务运行维护标准符合性证书-成熟度三级或三级以上的得1分；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highlight w:val="yellow"/>
        </w:rPr>
      </w:pPr>
      <w:r>
        <w:rPr>
          <w:rFonts w:hint="eastAsia" w:ascii="仿宋_GB2312" w:hAnsi="仿宋_GB2312" w:eastAsia="仿宋_GB2312" w:cs="仿宋_GB2312"/>
          <w:bCs/>
          <w:sz w:val="24"/>
          <w:szCs w:val="24"/>
        </w:rPr>
        <w:t>注：上述评分项提及的证书均须提供其复印件作为证明材料，否则该项不得分。</w:t>
      </w:r>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(5)业绩及履约能力（10分）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自2017年起至投标截止时间止，报价人做过类似项目的每个得3分，满分9分。[报价人在投标文件中提供合同或中标（成交）通知书，并加盖公章，否则不得分]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报价人做过类似项目中有与采购方的其他系统实现无缝对接和二次开发的，得1分。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注：上述业绩须提供合同复印件作为证明材料，否则不得分。</w:t>
      </w:r>
    </w:p>
    <w:p>
      <w:pPr>
        <w:keepNext w:val="0"/>
        <w:keepLines w:val="0"/>
        <w:pageBreakBefore w:val="0"/>
        <w:widowControl w:val="0"/>
        <w:kinsoku/>
        <w:wordWrap/>
        <w:overflowPunct/>
        <w:topLinePunct w:val="0"/>
        <w:autoSpaceDE/>
        <w:autoSpaceDN/>
        <w:bidi w:val="0"/>
        <w:adjustRightInd w:val="0"/>
        <w:snapToGrid/>
        <w:spacing w:line="400" w:lineRule="exact"/>
        <w:textAlignment w:val="baseline"/>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(6)拟投入本项目的人员（10分）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报价人拟派项目人员具有信息系统管理高级证书的，每人得5分，中级每人得3分，初级证书每得1分，最高得10分。[在投标文件中提供证书复印件及报价人为其缴纳的投标截止之日前半年内报价人连续三个月的依法缴纳社保费的缴费凭证（新入职不足三个月的按实际情况提供）复印件，加盖单位公章，否则不得分]</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注：上述证书必须保持在有效期内。上述证书须提供其复印件作为证明材料，否则该项不得分。</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6.</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bCs/>
          <w:sz w:val="24"/>
          <w:szCs w:val="24"/>
        </w:rPr>
        <w:t>综合得分=A×R1+B×R2。</w:t>
      </w:r>
    </w:p>
    <w:p>
      <w:pPr>
        <w:keepNext w:val="0"/>
        <w:keepLines w:val="0"/>
        <w:pageBreakBefore w:val="0"/>
        <w:widowControl w:val="0"/>
        <w:kinsoku/>
        <w:wordWrap/>
        <w:overflowPunct/>
        <w:topLinePunct w:val="0"/>
        <w:autoSpaceDE/>
        <w:autoSpaceDN/>
        <w:bidi w:val="0"/>
        <w:snapToGrid/>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（四）</w:t>
      </w:r>
      <w:r>
        <w:rPr>
          <w:rFonts w:hint="eastAsia" w:ascii="仿宋_GB2312" w:hAnsi="仿宋_GB2312" w:eastAsia="仿宋_GB2312" w:cs="仿宋_GB2312"/>
          <w:b/>
          <w:bCs/>
          <w:sz w:val="24"/>
          <w:szCs w:val="24"/>
        </w:rPr>
        <w:t>成交候选报价人推荐原则</w:t>
      </w:r>
    </w:p>
    <w:p>
      <w:pPr>
        <w:keepNext w:val="0"/>
        <w:keepLines w:val="0"/>
        <w:pageBreakBefore w:val="0"/>
        <w:widowControl w:val="0"/>
        <w:kinsoku/>
        <w:wordWrap/>
        <w:overflowPunct/>
        <w:topLinePunct w:val="0"/>
        <w:autoSpaceDE/>
        <w:autoSpaceDN/>
        <w:bidi w:val="0"/>
        <w:snapToGrid/>
        <w:spacing w:line="400" w:lineRule="exact"/>
        <w:ind w:firstLine="480" w:firstLineChars="200"/>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rPr>
        <w:t>1.评标小组将根据总得分由高到低排列次序（总得分相同时，依次按报价低优先、技术分高优先、商务分高优先）并依照次序推荐二名成交候选报价人。</w:t>
      </w:r>
      <w:r>
        <w:rPr>
          <w:rFonts w:hint="eastAsia" w:ascii="仿宋_GB2312" w:hAnsi="仿宋_GB2312" w:eastAsia="仿宋_GB2312" w:cs="仿宋_GB2312"/>
          <w:sz w:val="24"/>
          <w:szCs w:val="24"/>
          <w:shd w:val="clear" w:color="auto" w:fill="FFFFFF"/>
        </w:rPr>
        <w:t>采购人应当确定排名第一的</w:t>
      </w:r>
      <w:r>
        <w:rPr>
          <w:rFonts w:hint="eastAsia" w:ascii="仿宋_GB2312" w:hAnsi="仿宋_GB2312" w:eastAsia="仿宋_GB2312" w:cs="仿宋_GB2312"/>
          <w:sz w:val="24"/>
          <w:szCs w:val="24"/>
        </w:rPr>
        <w:t>成交候选报价人</w:t>
      </w:r>
      <w:r>
        <w:rPr>
          <w:rFonts w:hint="eastAsia" w:ascii="仿宋_GB2312" w:hAnsi="仿宋_GB2312" w:eastAsia="仿宋_GB2312" w:cs="仿宋_GB2312"/>
          <w:sz w:val="24"/>
          <w:szCs w:val="24"/>
          <w:shd w:val="clear" w:color="auto" w:fill="FFFFFF"/>
        </w:rPr>
        <w:t>为成交人。除非有法定事由，如排名第一的</w:t>
      </w:r>
      <w:r>
        <w:rPr>
          <w:rFonts w:hint="eastAsia" w:ascii="仿宋_GB2312" w:hAnsi="仿宋_GB2312" w:eastAsia="仿宋_GB2312" w:cs="仿宋_GB2312"/>
          <w:sz w:val="24"/>
          <w:szCs w:val="24"/>
        </w:rPr>
        <w:t>成交候选报价人</w:t>
      </w:r>
      <w:r>
        <w:rPr>
          <w:rFonts w:hint="eastAsia" w:ascii="仿宋_GB2312" w:hAnsi="仿宋_GB2312" w:eastAsia="仿宋_GB2312" w:cs="仿宋_GB2312"/>
          <w:sz w:val="24"/>
          <w:szCs w:val="24"/>
          <w:shd w:val="clear" w:color="auto" w:fill="FFFFFF"/>
        </w:rPr>
        <w:t>放弃中标、因不可抗力不能履行合同或者被查实存在影响成交结果的违法行为等情形，不符合成交条件的，采购人可以按照评标小组会提出的</w:t>
      </w:r>
      <w:r>
        <w:rPr>
          <w:rFonts w:hint="eastAsia" w:ascii="仿宋_GB2312" w:hAnsi="仿宋_GB2312" w:eastAsia="仿宋_GB2312" w:cs="仿宋_GB2312"/>
          <w:sz w:val="24"/>
          <w:szCs w:val="24"/>
        </w:rPr>
        <w:t>成交候选报价人</w:t>
      </w:r>
      <w:r>
        <w:rPr>
          <w:rFonts w:hint="eastAsia" w:ascii="仿宋_GB2312" w:hAnsi="仿宋_GB2312" w:eastAsia="仿宋_GB2312" w:cs="仿宋_GB2312"/>
          <w:sz w:val="24"/>
          <w:szCs w:val="24"/>
          <w:shd w:val="clear" w:color="auto" w:fill="FFFFFF"/>
        </w:rPr>
        <w:t>名单排序依次确定其他成交候选人为成交人，也可以重新招标。</w:t>
      </w:r>
    </w:p>
    <w:p>
      <w:pPr>
        <w:keepNext w:val="0"/>
        <w:keepLines w:val="0"/>
        <w:pageBreakBefore w:val="0"/>
        <w:widowControl w:val="0"/>
        <w:kinsoku/>
        <w:wordWrap/>
        <w:overflowPunct/>
        <w:topLinePunct w:val="0"/>
        <w:autoSpaceDE/>
        <w:autoSpaceDN/>
        <w:bidi w:val="0"/>
        <w:snapToGrid/>
        <w:spacing w:line="400" w:lineRule="exact"/>
        <w:ind w:firstLine="480"/>
        <w:rPr>
          <w:rFonts w:hint="eastAsia" w:ascii="仿宋_GB2312" w:hAnsi="仿宋_GB2312" w:eastAsia="仿宋_GB2312" w:cs="仿宋_GB2312"/>
          <w:b/>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shd w:val="clear" w:color="auto" w:fill="FFFFFF"/>
        </w:rPr>
        <w:t>评标小组</w:t>
      </w:r>
      <w:r>
        <w:rPr>
          <w:rFonts w:hint="eastAsia" w:ascii="仿宋_GB2312" w:hAnsi="仿宋_GB2312" w:eastAsia="仿宋_GB2312" w:cs="仿宋_GB2312"/>
          <w:sz w:val="24"/>
          <w:szCs w:val="24"/>
        </w:rPr>
        <w:t>认为，某报价人的有效报价或者某些分项报价明显不合理或者低于成本，有可能影响服务质量和不能诚信履约的，可要求其在规定的期限内提供书面文件予以解释说明，并提交相关证明材料，</w:t>
      </w:r>
      <w:r>
        <w:rPr>
          <w:rFonts w:hint="eastAsia" w:ascii="仿宋_GB2312" w:hAnsi="仿宋_GB2312" w:eastAsia="仿宋_GB2312" w:cs="仿宋_GB2312"/>
          <w:b/>
          <w:sz w:val="24"/>
          <w:szCs w:val="24"/>
        </w:rPr>
        <w:t>否则，</w:t>
      </w:r>
      <w:r>
        <w:rPr>
          <w:rFonts w:hint="eastAsia" w:ascii="仿宋_GB2312" w:hAnsi="仿宋_GB2312" w:eastAsia="仿宋_GB2312" w:cs="仿宋_GB2312"/>
          <w:b/>
          <w:sz w:val="24"/>
          <w:szCs w:val="24"/>
          <w:shd w:val="clear" w:color="auto" w:fill="FFFFFF"/>
        </w:rPr>
        <w:t>评标小组</w:t>
      </w:r>
      <w:r>
        <w:rPr>
          <w:rFonts w:hint="eastAsia" w:ascii="仿宋_GB2312" w:hAnsi="仿宋_GB2312" w:eastAsia="仿宋_GB2312" w:cs="仿宋_GB2312"/>
          <w:b/>
          <w:sz w:val="24"/>
          <w:szCs w:val="24"/>
        </w:rPr>
        <w:t>不推荐该报价人为中标候选人。</w:t>
      </w:r>
    </w:p>
    <w:p>
      <w:pPr>
        <w:rPr>
          <w:rFonts w:hint="eastAsia" w:ascii="仿宋_GB2312" w:hAnsi="仿宋_GB2312" w:eastAsia="仿宋_GB2312" w:cs="仿宋_GB2312"/>
          <w:sz w:val="24"/>
          <w:szCs w:val="24"/>
        </w:rPr>
      </w:pPr>
    </w:p>
    <w:p>
      <w:pPr>
        <w:widowControl/>
        <w:jc w:val="left"/>
        <w:rPr>
          <w:rFonts w:hint="eastAsia" w:ascii="宋体" w:hAnsi="宋体" w:eastAsia="宋体" w:cs="仿宋_GB2312"/>
          <w:sz w:val="24"/>
          <w:szCs w:val="24"/>
        </w:rPr>
      </w:pPr>
      <w:bookmarkStart w:id="1" w:name="_GoBack"/>
      <w:bookmarkEnd w:id="1"/>
    </w:p>
    <w:sectPr>
      <w:pgSz w:w="11906" w:h="16838"/>
      <w:pgMar w:top="1440" w:right="1361"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49D7"/>
    <w:multiLevelType w:val="multilevel"/>
    <w:tmpl w:val="044649D7"/>
    <w:lvl w:ilvl="0" w:tentative="0">
      <w:start w:val="1"/>
      <w:numFmt w:val="decimal"/>
      <w:suff w:val="space"/>
      <w:lvlText w:val="%1."/>
      <w:lvlJc w:val="left"/>
      <w:pPr>
        <w:tabs>
          <w:tab w:val="left" w:pos="420"/>
        </w:tabs>
        <w:ind w:left="432" w:hanging="432"/>
      </w:pPr>
      <w:rPr>
        <w:rFonts w:hint="default" w:ascii="宋体" w:hAnsi="宋体" w:eastAsia="宋体" w:cs="宋体"/>
        <w:b/>
        <w:color w:val="auto"/>
        <w:sz w:val="32"/>
      </w:rPr>
    </w:lvl>
    <w:lvl w:ilvl="1" w:tentative="0">
      <w:start w:val="1"/>
      <w:numFmt w:val="decimal"/>
      <w:pStyle w:val="2"/>
      <w:suff w:val="space"/>
      <w:lvlText w:val="%1.%2."/>
      <w:lvlJc w:val="left"/>
      <w:pPr>
        <w:tabs>
          <w:tab w:val="left" w:pos="0"/>
        </w:tabs>
        <w:ind w:left="576" w:hanging="576"/>
      </w:pPr>
      <w:rPr>
        <w:rFonts w:hint="default" w:ascii="宋体" w:hAnsi="宋体" w:eastAsia="宋体" w:cs="宋体"/>
        <w:b/>
        <w:sz w:val="32"/>
      </w:rPr>
    </w:lvl>
    <w:lvl w:ilvl="2" w:tentative="0">
      <w:start w:val="1"/>
      <w:numFmt w:val="decimal"/>
      <w:pStyle w:val="3"/>
      <w:suff w:val="space"/>
      <w:lvlText w:val="%1.%2.%3."/>
      <w:lvlJc w:val="left"/>
      <w:pPr>
        <w:ind w:left="720" w:hanging="720"/>
      </w:pPr>
      <w:rPr>
        <w:rFonts w:hint="default" w:ascii="宋体" w:hAnsi="宋体" w:eastAsia="宋体" w:cs="宋体"/>
      </w:rPr>
    </w:lvl>
    <w:lvl w:ilvl="3" w:tentative="0">
      <w:start w:val="1"/>
      <w:numFmt w:val="decimal"/>
      <w:lvlText w:val="%1.%2.%3.%4."/>
      <w:lvlJc w:val="left"/>
      <w:pPr>
        <w:tabs>
          <w:tab w:val="left" w:pos="420"/>
        </w:tabs>
        <w:ind w:left="2282" w:hanging="864"/>
      </w:pPr>
      <w:rPr>
        <w:rFonts w:hint="default" w:ascii="宋体" w:hAnsi="宋体" w:eastAsia="宋体" w:cs="宋体"/>
        <w:color w:val="auto"/>
      </w:rPr>
    </w:lvl>
    <w:lvl w:ilvl="4" w:tentative="0">
      <w:start w:val="1"/>
      <w:numFmt w:val="decimal"/>
      <w:lvlText w:val="%1.%2.%3.%4.%5."/>
      <w:lvlJc w:val="left"/>
      <w:pPr>
        <w:ind w:left="1008" w:hanging="1008"/>
      </w:pPr>
      <w:rPr>
        <w:rFonts w:hint="default" w:ascii="宋体" w:hAnsi="宋体" w:eastAsia="宋体" w:cs="宋体"/>
        <w:color w:val="auto"/>
      </w:rPr>
    </w:lvl>
    <w:lvl w:ilvl="5" w:tentative="0">
      <w:start w:val="1"/>
      <w:numFmt w:val="decimal"/>
      <w:lvlText w:val="%1.%2.%3.%4.%5.%6."/>
      <w:lvlJc w:val="left"/>
      <w:pPr>
        <w:ind w:left="3845" w:hanging="1152"/>
      </w:pPr>
      <w:rPr>
        <w:rFonts w:hint="default" w:ascii="宋体" w:hAnsi="宋体" w:eastAsia="宋体" w:cs="宋体"/>
        <w:color w:val="auto"/>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24"/>
    <w:rsid w:val="00043873"/>
    <w:rsid w:val="00044185"/>
    <w:rsid w:val="000C32D8"/>
    <w:rsid w:val="00143B1E"/>
    <w:rsid w:val="001541CB"/>
    <w:rsid w:val="0015611E"/>
    <w:rsid w:val="00264B17"/>
    <w:rsid w:val="003018EC"/>
    <w:rsid w:val="00353647"/>
    <w:rsid w:val="003D6F19"/>
    <w:rsid w:val="00441CAB"/>
    <w:rsid w:val="00461EC0"/>
    <w:rsid w:val="0050343B"/>
    <w:rsid w:val="00596224"/>
    <w:rsid w:val="0064104E"/>
    <w:rsid w:val="00643B64"/>
    <w:rsid w:val="00687C48"/>
    <w:rsid w:val="00703DB3"/>
    <w:rsid w:val="007248DC"/>
    <w:rsid w:val="007258ED"/>
    <w:rsid w:val="00881BE9"/>
    <w:rsid w:val="00945ECB"/>
    <w:rsid w:val="009E1645"/>
    <w:rsid w:val="00A05F45"/>
    <w:rsid w:val="00A75EB8"/>
    <w:rsid w:val="00A875E3"/>
    <w:rsid w:val="00B5443F"/>
    <w:rsid w:val="00C708AB"/>
    <w:rsid w:val="00C759BA"/>
    <w:rsid w:val="00C90E17"/>
    <w:rsid w:val="00CA49C3"/>
    <w:rsid w:val="00D36CDC"/>
    <w:rsid w:val="00D43B8C"/>
    <w:rsid w:val="00D47122"/>
    <w:rsid w:val="00E24B38"/>
    <w:rsid w:val="00E43A9B"/>
    <w:rsid w:val="00F714BD"/>
    <w:rsid w:val="02014E21"/>
    <w:rsid w:val="0EC318B9"/>
    <w:rsid w:val="11582341"/>
    <w:rsid w:val="17923236"/>
    <w:rsid w:val="206035DF"/>
    <w:rsid w:val="22076813"/>
    <w:rsid w:val="28743087"/>
    <w:rsid w:val="29CF36E4"/>
    <w:rsid w:val="374E2D53"/>
    <w:rsid w:val="45EB27DB"/>
    <w:rsid w:val="461B0DB3"/>
    <w:rsid w:val="46852C19"/>
    <w:rsid w:val="4E1018D1"/>
    <w:rsid w:val="51154DD6"/>
    <w:rsid w:val="53471701"/>
    <w:rsid w:val="54F81CC2"/>
    <w:rsid w:val="61842985"/>
    <w:rsid w:val="6ACA0DB2"/>
    <w:rsid w:val="6B77422A"/>
    <w:rsid w:val="70777059"/>
    <w:rsid w:val="76095524"/>
    <w:rsid w:val="79EC0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widowControl/>
      <w:numPr>
        <w:ilvl w:val="1"/>
        <w:numId w:val="1"/>
      </w:numPr>
      <w:spacing w:before="100" w:beforeAutospacing="1" w:after="100" w:afterAutospacing="1"/>
      <w:ind w:left="576" w:hanging="576"/>
      <w:jc w:val="left"/>
      <w:outlineLvl w:val="1"/>
    </w:pPr>
    <w:rPr>
      <w:rFonts w:ascii="宋体" w:hAnsi="宋体" w:eastAsia="仿宋_GB2312"/>
      <w:b/>
      <w:bCs/>
      <w:kern w:val="0"/>
      <w:sz w:val="32"/>
      <w:szCs w:val="36"/>
    </w:rPr>
  </w:style>
  <w:style w:type="paragraph" w:styleId="3">
    <w:name w:val="heading 3"/>
    <w:basedOn w:val="1"/>
    <w:next w:val="1"/>
    <w:qFormat/>
    <w:uiPriority w:val="0"/>
    <w:pPr>
      <w:keepNext/>
      <w:numPr>
        <w:ilvl w:val="2"/>
        <w:numId w:val="1"/>
      </w:numPr>
      <w:ind w:left="720" w:hanging="720"/>
      <w:jc w:val="left"/>
      <w:outlineLvl w:val="2"/>
    </w:pPr>
    <w:rPr>
      <w:rFonts w:ascii="Times New Roman" w:hAnsi="Times New Roman" w:eastAsia="仿宋_GB2312"/>
      <w:b/>
      <w:bCs/>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uiPriority w:val="0"/>
    <w:pPr>
      <w:widowControl/>
      <w:ind w:firstLine="420"/>
      <w:jc w:val="left"/>
    </w:pPr>
    <w:rPr>
      <w:rFonts w:ascii="Times New Roman" w:hAnsi="Times New Roman" w:eastAsia="仿宋_GB2312" w:cs="Times New Roman"/>
      <w:b/>
      <w:kern w:val="0"/>
      <w:sz w:val="30"/>
    </w:rPr>
  </w:style>
  <w:style w:type="paragraph" w:styleId="5">
    <w:name w:val="Body Text"/>
    <w:basedOn w:val="1"/>
    <w:link w:val="17"/>
    <w:uiPriority w:val="0"/>
    <w:pPr>
      <w:spacing w:line="360" w:lineRule="auto"/>
    </w:pPr>
    <w:rPr>
      <w:rFonts w:ascii="Calibri" w:hAnsi="Calibri" w:eastAsia="仿宋_GB2312" w:cs="Times New Roman"/>
      <w:sz w:val="24"/>
    </w:rPr>
  </w:style>
  <w:style w:type="paragraph" w:styleId="6">
    <w:name w:val="Body Text Indent"/>
    <w:basedOn w:val="1"/>
    <w:link w:val="21"/>
    <w:semiHidden/>
    <w:unhideWhenUsed/>
    <w:qFormat/>
    <w:uiPriority w:val="99"/>
    <w:pPr>
      <w:spacing w:after="120"/>
      <w:ind w:left="420" w:leftChars="200"/>
    </w:pPr>
  </w:style>
  <w:style w:type="paragraph" w:styleId="7">
    <w:name w:val="Date"/>
    <w:basedOn w:val="1"/>
    <w:next w:val="1"/>
    <w:link w:val="20"/>
    <w:qFormat/>
    <w:uiPriority w:val="0"/>
    <w:pPr>
      <w:ind w:left="100" w:leftChars="2500"/>
    </w:pPr>
    <w:rPr>
      <w:szCs w:val="24"/>
    </w:rPr>
  </w:style>
  <w:style w:type="paragraph" w:styleId="8">
    <w:name w:val="Balloon Text"/>
    <w:basedOn w:val="1"/>
    <w:link w:val="16"/>
    <w:semiHidden/>
    <w:unhideWhenUsed/>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99"/>
    <w:pPr>
      <w:jc w:val="center"/>
    </w:pPr>
    <w:rPr>
      <w:rFonts w:ascii="Times New Roman" w:hAnsi="Times New Roman" w:eastAsia="仿宋_GB2312" w:cs="Times New Roman"/>
      <w:sz w:val="32"/>
      <w:szCs w:val="21"/>
    </w:rPr>
  </w:style>
  <w:style w:type="character" w:styleId="14">
    <w:name w:val="Strong"/>
    <w:qFormat/>
    <w:uiPriority w:val="22"/>
    <w:rPr>
      <w:b/>
      <w:bCs/>
    </w:rPr>
  </w:style>
  <w:style w:type="paragraph" w:styleId="15">
    <w:name w:val="List Paragraph"/>
    <w:basedOn w:val="1"/>
    <w:qFormat/>
    <w:uiPriority w:val="34"/>
    <w:pPr>
      <w:ind w:firstLine="420" w:firstLineChars="200"/>
    </w:pPr>
  </w:style>
  <w:style w:type="character" w:customStyle="1" w:styleId="16">
    <w:name w:val="批注框文本 字符"/>
    <w:basedOn w:val="13"/>
    <w:link w:val="8"/>
    <w:semiHidden/>
    <w:qFormat/>
    <w:uiPriority w:val="99"/>
    <w:rPr>
      <w:sz w:val="18"/>
      <w:szCs w:val="18"/>
    </w:rPr>
  </w:style>
  <w:style w:type="character" w:customStyle="1" w:styleId="17">
    <w:name w:val="正文文本 字符"/>
    <w:basedOn w:val="13"/>
    <w:link w:val="5"/>
    <w:qFormat/>
    <w:uiPriority w:val="0"/>
    <w:rPr>
      <w:rFonts w:ascii="Calibri" w:hAnsi="Calibri" w:eastAsia="仿宋_GB2312" w:cs="Times New Roman"/>
      <w:sz w:val="24"/>
    </w:rPr>
  </w:style>
  <w:style w:type="character" w:customStyle="1" w:styleId="18">
    <w:name w:val="页眉 字符"/>
    <w:basedOn w:val="13"/>
    <w:link w:val="10"/>
    <w:uiPriority w:val="99"/>
    <w:rPr>
      <w:sz w:val="18"/>
      <w:szCs w:val="18"/>
    </w:rPr>
  </w:style>
  <w:style w:type="character" w:customStyle="1" w:styleId="19">
    <w:name w:val="页脚 字符"/>
    <w:basedOn w:val="13"/>
    <w:link w:val="9"/>
    <w:qFormat/>
    <w:uiPriority w:val="99"/>
    <w:rPr>
      <w:sz w:val="18"/>
      <w:szCs w:val="18"/>
    </w:rPr>
  </w:style>
  <w:style w:type="character" w:customStyle="1" w:styleId="20">
    <w:name w:val="日期 字符"/>
    <w:basedOn w:val="13"/>
    <w:link w:val="7"/>
    <w:qFormat/>
    <w:uiPriority w:val="0"/>
    <w:rPr>
      <w:szCs w:val="24"/>
    </w:rPr>
  </w:style>
  <w:style w:type="character" w:customStyle="1" w:styleId="21">
    <w:name w:val="正文文本缩进 字符"/>
    <w:basedOn w:val="13"/>
    <w:link w:val="6"/>
    <w:semiHidden/>
    <w:qFormat/>
    <w:uiPriority w:val="99"/>
  </w:style>
  <w:style w:type="paragraph" w:customStyle="1" w:styleId="22">
    <w:name w:val="Plain Text1"/>
    <w:basedOn w:val="1"/>
    <w:uiPriority w:val="0"/>
    <w:pPr>
      <w:adjustRightInd w:val="0"/>
      <w:textAlignment w:val="baseline"/>
    </w:pPr>
    <w:rPr>
      <w:rFonts w:ascii="宋体" w:hAnsi="Courier New" w:eastAsia="仿宋_GB2312" w:cs="Times New Roman"/>
      <w:sz w:val="32"/>
      <w:szCs w:val="20"/>
    </w:rPr>
  </w:style>
  <w:style w:type="character" w:customStyle="1" w:styleId="23">
    <w:name w:val="纯文本 字符"/>
    <w:basedOn w:val="13"/>
    <w:qFormat/>
    <w:uiPriority w:val="0"/>
    <w:rPr>
      <w:rFonts w:ascii="宋体" w:hAnsi="Courier New" w:eastAsia="仿宋_GB2312" w:cs="Times New Roman"/>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2805</Words>
  <Characters>15989</Characters>
  <Lines>133</Lines>
  <Paragraphs>37</Paragraphs>
  <TotalTime>2</TotalTime>
  <ScaleCrop>false</ScaleCrop>
  <LinksUpToDate>false</LinksUpToDate>
  <CharactersWithSpaces>18757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2021-05-19T07:46:00Z</dcterms:created>
  <dc:creator>VC1052</dc:creator>
  <cp:lastModifiedBy>晴，若雨</cp:lastModifiedBy>
  <dcterms:modified xsi:type="dcterms:W3CDTF">2021-07-12T08:52:42Z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