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ind w:right="840" w:rightChars="400"/>
        <w:jc w:val="left"/>
        <w:rPr>
          <w:rFonts w:hint="eastAsia" w:ascii="仿宋_GB2312" w:hAnsi="楷体" w:eastAsia="仿宋_GB2312" w:cs="Times New Roman"/>
          <w:color w:val="auto"/>
          <w:sz w:val="32"/>
          <w:szCs w:val="32"/>
        </w:rPr>
      </w:pPr>
      <w:bookmarkStart w:id="0" w:name="_GoBack"/>
      <w:bookmarkEnd w:id="0"/>
      <w:r>
        <w:rPr>
          <w:rFonts w:hint="eastAsia" w:ascii="仿宋_GB2312" w:hAnsi="楷体" w:eastAsia="仿宋_GB2312" w:cs="Times New Roman"/>
          <w:color w:val="auto"/>
          <w:sz w:val="32"/>
          <w:szCs w:val="32"/>
        </w:rPr>
        <w:t>附件3：合同格式</w:t>
      </w:r>
    </w:p>
    <w:p>
      <w:pPr>
        <w:spacing w:line="360" w:lineRule="auto"/>
        <w:jc w:val="center"/>
        <w:rPr>
          <w:rFonts w:ascii="黑体" w:hAnsi="宋体" w:eastAsia="黑体"/>
          <w:b/>
          <w:bCs/>
          <w:sz w:val="28"/>
          <w:szCs w:val="28"/>
        </w:rPr>
      </w:pPr>
      <w:r>
        <w:rPr>
          <w:rFonts w:ascii="黑体" w:hAnsi="宋体" w:eastAsia="黑体"/>
          <w:b/>
          <w:bCs/>
          <w:sz w:val="28"/>
          <w:szCs w:val="28"/>
        </w:rPr>
        <w:t>合 同 书</w:t>
      </w:r>
    </w:p>
    <w:p>
      <w:pPr>
        <w:spacing w:line="360" w:lineRule="auto"/>
        <w:rPr>
          <w:rFonts w:hAnsi="宋体"/>
          <w:sz w:val="28"/>
          <w:szCs w:val="28"/>
        </w:rPr>
      </w:pP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采购单位（甲方）：  </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注册地：</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法定代表人：</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联系电话： </w:t>
      </w:r>
    </w:p>
    <w:p>
      <w:pPr>
        <w:snapToGrid w:val="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供 应 商（乙方）：</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注册地： </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法定代表人：</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联系电话：</w:t>
      </w:r>
    </w:p>
    <w:p>
      <w:pPr>
        <w:snapToGrid w:val="0"/>
        <w:spacing w:line="360" w:lineRule="auto"/>
        <w:rPr>
          <w:rFonts w:hint="eastAsia" w:ascii="仿宋_GB2312" w:hAnsi="仿宋_GB2312" w:eastAsia="仿宋_GB2312" w:cs="仿宋_GB2312"/>
          <w:sz w:val="28"/>
          <w:szCs w:val="28"/>
        </w:rPr>
      </w:pPr>
    </w:p>
    <w:p>
      <w:pPr>
        <w:snapToGrid w:val="0"/>
        <w:spacing w:line="360" w:lineRule="auto"/>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根据《中华人民共和国民法典》等法律、法规规定，甲乙双方签订本合同。</w:t>
      </w:r>
    </w:p>
    <w:p>
      <w:pPr>
        <w:snapToGrid w:val="0"/>
        <w:spacing w:line="360" w:lineRule="auto"/>
        <w:ind w:firstLine="562" w:firstLineChars="200"/>
        <w:outlineLvl w:val="0"/>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第一条　合同标的</w:t>
      </w:r>
    </w:p>
    <w:p>
      <w:pPr>
        <w:snapToGrid w:val="0"/>
        <w:spacing w:line="360" w:lineRule="auto"/>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1.供货一览表</w:t>
      </w:r>
    </w:p>
    <w:tbl>
      <w:tblPr>
        <w:tblStyle w:val="12"/>
        <w:tblW w:w="9174" w:type="dxa"/>
        <w:tblInd w:w="0" w:type="dxa"/>
        <w:tblLayout w:type="fixed"/>
        <w:tblCellMar>
          <w:top w:w="0" w:type="dxa"/>
          <w:left w:w="108" w:type="dxa"/>
          <w:bottom w:w="0" w:type="dxa"/>
          <w:right w:w="108" w:type="dxa"/>
        </w:tblCellMar>
      </w:tblPr>
      <w:tblGrid>
        <w:gridCol w:w="964"/>
        <w:gridCol w:w="2688"/>
        <w:gridCol w:w="1137"/>
        <w:gridCol w:w="1453"/>
        <w:gridCol w:w="1552"/>
        <w:gridCol w:w="1380"/>
      </w:tblGrid>
      <w:tr>
        <w:tblPrEx>
          <w:tblLayout w:type="fixed"/>
          <w:tblCellMar>
            <w:top w:w="0" w:type="dxa"/>
            <w:left w:w="108" w:type="dxa"/>
            <w:bottom w:w="0" w:type="dxa"/>
            <w:right w:w="108" w:type="dxa"/>
          </w:tblCellMar>
        </w:tblPrEx>
        <w:trPr>
          <w:trHeight w:val="330" w:hRule="atLeast"/>
        </w:trPr>
        <w:tc>
          <w:tcPr>
            <w:tcW w:w="96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hint="eastAsia" w:ascii="黑体" w:hAnsi="黑体" w:eastAsia="黑体" w:cs="黑体"/>
                <w:b w:val="0"/>
                <w:bCs w:val="0"/>
                <w:color w:val="FFFFFF"/>
                <w:kern w:val="0"/>
                <w:sz w:val="21"/>
                <w:szCs w:val="21"/>
              </w:rPr>
            </w:pPr>
            <w:r>
              <w:rPr>
                <w:rFonts w:hint="eastAsia" w:ascii="黑体" w:hAnsi="黑体" w:eastAsia="黑体" w:cs="黑体"/>
                <w:b w:val="0"/>
                <w:bCs w:val="0"/>
                <w:color w:val="FFFFFF"/>
                <w:kern w:val="0"/>
                <w:sz w:val="21"/>
                <w:szCs w:val="21"/>
              </w:rPr>
              <w:t>序号</w:t>
            </w:r>
          </w:p>
        </w:tc>
        <w:tc>
          <w:tcPr>
            <w:tcW w:w="2688"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hint="eastAsia" w:ascii="黑体" w:hAnsi="黑体" w:eastAsia="黑体" w:cs="黑体"/>
                <w:b w:val="0"/>
                <w:bCs w:val="0"/>
                <w:color w:val="FFFFFF"/>
                <w:kern w:val="0"/>
                <w:sz w:val="21"/>
                <w:szCs w:val="21"/>
              </w:rPr>
            </w:pPr>
            <w:r>
              <w:rPr>
                <w:rFonts w:hint="eastAsia" w:ascii="黑体" w:hAnsi="黑体" w:eastAsia="黑体" w:cs="黑体"/>
                <w:b w:val="0"/>
                <w:bCs w:val="0"/>
                <w:color w:val="FFFFFF"/>
                <w:kern w:val="0"/>
                <w:sz w:val="21"/>
                <w:szCs w:val="21"/>
              </w:rPr>
              <w:t>产品类别</w:t>
            </w:r>
          </w:p>
        </w:tc>
        <w:tc>
          <w:tcPr>
            <w:tcW w:w="1137"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hint="eastAsia" w:ascii="黑体" w:hAnsi="黑体" w:eastAsia="黑体" w:cs="黑体"/>
                <w:b w:val="0"/>
                <w:bCs w:val="0"/>
                <w:color w:val="FFFFFF"/>
                <w:kern w:val="0"/>
                <w:sz w:val="21"/>
                <w:szCs w:val="21"/>
              </w:rPr>
            </w:pPr>
            <w:r>
              <w:rPr>
                <w:rFonts w:hint="eastAsia" w:ascii="黑体" w:hAnsi="黑体" w:eastAsia="黑体" w:cs="黑体"/>
                <w:b w:val="0"/>
                <w:bCs w:val="0"/>
                <w:color w:val="000000"/>
                <w:kern w:val="0"/>
                <w:sz w:val="21"/>
                <w:szCs w:val="21"/>
                <w:lang w:bidi="ar"/>
              </w:rPr>
              <w:t>数  量</w:t>
            </w:r>
          </w:p>
        </w:tc>
        <w:tc>
          <w:tcPr>
            <w:tcW w:w="1453"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hint="eastAsia" w:ascii="黑体" w:hAnsi="黑体" w:eastAsia="黑体" w:cs="黑体"/>
                <w:b w:val="0"/>
                <w:bCs w:val="0"/>
                <w:color w:val="FFFFFF"/>
                <w:kern w:val="0"/>
                <w:sz w:val="21"/>
                <w:szCs w:val="21"/>
              </w:rPr>
            </w:pPr>
            <w:r>
              <w:rPr>
                <w:rFonts w:hint="eastAsia" w:ascii="黑体" w:hAnsi="黑体" w:eastAsia="黑体" w:cs="黑体"/>
                <w:b w:val="0"/>
                <w:bCs w:val="0"/>
                <w:color w:val="000000"/>
                <w:kern w:val="0"/>
                <w:sz w:val="21"/>
                <w:szCs w:val="21"/>
                <w:lang w:bidi="ar"/>
              </w:rPr>
              <w:t>单位</w:t>
            </w:r>
          </w:p>
        </w:tc>
        <w:tc>
          <w:tcPr>
            <w:tcW w:w="1552"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auto"/>
              <w:jc w:val="center"/>
              <w:textAlignment w:val="center"/>
              <w:rPr>
                <w:rFonts w:hint="eastAsia" w:ascii="黑体" w:hAnsi="黑体" w:eastAsia="黑体" w:cs="黑体"/>
                <w:b w:val="0"/>
                <w:bCs w:val="0"/>
                <w:color w:val="000000"/>
                <w:kern w:val="0"/>
                <w:sz w:val="21"/>
                <w:szCs w:val="21"/>
                <w:lang w:bidi="ar"/>
              </w:rPr>
            </w:pPr>
            <w:r>
              <w:rPr>
                <w:rFonts w:hint="eastAsia" w:ascii="黑体" w:hAnsi="黑体" w:eastAsia="黑体" w:cs="黑体"/>
                <w:b w:val="0"/>
                <w:bCs w:val="0"/>
                <w:color w:val="000000"/>
                <w:kern w:val="0"/>
                <w:sz w:val="21"/>
                <w:szCs w:val="21"/>
                <w:lang w:bidi="ar"/>
              </w:rPr>
              <w:t>含税单价</w:t>
            </w:r>
          </w:p>
          <w:p>
            <w:pPr>
              <w:widowControl/>
              <w:jc w:val="center"/>
              <w:rPr>
                <w:rFonts w:hint="eastAsia" w:ascii="黑体" w:hAnsi="黑体" w:eastAsia="黑体" w:cs="黑体"/>
                <w:b w:val="0"/>
                <w:bCs w:val="0"/>
                <w:color w:val="FFFFFF"/>
                <w:kern w:val="0"/>
                <w:sz w:val="21"/>
                <w:szCs w:val="21"/>
              </w:rPr>
            </w:pPr>
            <w:r>
              <w:rPr>
                <w:rFonts w:hint="eastAsia" w:ascii="黑体" w:hAnsi="黑体" w:eastAsia="黑体" w:cs="黑体"/>
                <w:b w:val="0"/>
                <w:bCs w:val="0"/>
                <w:color w:val="000000"/>
                <w:kern w:val="0"/>
                <w:sz w:val="21"/>
                <w:szCs w:val="21"/>
                <w:lang w:bidi="ar"/>
              </w:rPr>
              <w:t>（元）</w:t>
            </w:r>
          </w:p>
        </w:tc>
        <w:tc>
          <w:tcPr>
            <w:tcW w:w="138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auto"/>
              <w:jc w:val="center"/>
              <w:textAlignment w:val="center"/>
              <w:rPr>
                <w:rFonts w:hint="eastAsia" w:ascii="黑体" w:hAnsi="黑体" w:eastAsia="黑体" w:cs="黑体"/>
                <w:b w:val="0"/>
                <w:bCs w:val="0"/>
                <w:color w:val="000000"/>
                <w:kern w:val="0"/>
                <w:sz w:val="21"/>
                <w:szCs w:val="21"/>
                <w:lang w:bidi="ar"/>
              </w:rPr>
            </w:pPr>
            <w:r>
              <w:rPr>
                <w:rFonts w:hint="eastAsia" w:ascii="黑体" w:hAnsi="黑体" w:eastAsia="黑体" w:cs="黑体"/>
                <w:b w:val="0"/>
                <w:bCs w:val="0"/>
                <w:color w:val="000000"/>
                <w:kern w:val="0"/>
                <w:sz w:val="21"/>
                <w:szCs w:val="21"/>
                <w:lang w:bidi="ar"/>
              </w:rPr>
              <w:t>含税总价</w:t>
            </w:r>
          </w:p>
          <w:p>
            <w:pPr>
              <w:widowControl/>
              <w:jc w:val="center"/>
              <w:rPr>
                <w:rFonts w:hint="eastAsia" w:ascii="黑体" w:hAnsi="黑体" w:eastAsia="黑体" w:cs="黑体"/>
                <w:b w:val="0"/>
                <w:bCs w:val="0"/>
                <w:color w:val="FFFFFF"/>
                <w:kern w:val="0"/>
                <w:sz w:val="21"/>
                <w:szCs w:val="21"/>
              </w:rPr>
            </w:pPr>
            <w:r>
              <w:rPr>
                <w:rFonts w:hint="eastAsia" w:ascii="黑体" w:hAnsi="黑体" w:eastAsia="黑体" w:cs="黑体"/>
                <w:b w:val="0"/>
                <w:bCs w:val="0"/>
                <w:color w:val="000000"/>
                <w:kern w:val="0"/>
                <w:sz w:val="21"/>
                <w:szCs w:val="21"/>
                <w:lang w:bidi="ar"/>
              </w:rPr>
              <w:t>（元）</w:t>
            </w:r>
          </w:p>
        </w:tc>
      </w:tr>
      <w:tr>
        <w:tblPrEx>
          <w:tblLayout w:type="fixed"/>
          <w:tblCellMar>
            <w:top w:w="0" w:type="dxa"/>
            <w:left w:w="108" w:type="dxa"/>
            <w:bottom w:w="0" w:type="dxa"/>
            <w:right w:w="108" w:type="dxa"/>
          </w:tblCellMar>
        </w:tblPrEx>
        <w:trPr>
          <w:trHeight w:val="490" w:hRule="atLeast"/>
        </w:trPr>
        <w:tc>
          <w:tcPr>
            <w:tcW w:w="96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0"/>
                <w:szCs w:val="20"/>
              </w:rPr>
            </w:pPr>
            <w:r>
              <w:rPr>
                <w:rFonts w:hint="eastAsia" w:ascii="黑体" w:hAnsi="黑体" w:eastAsia="黑体" w:cs="黑体"/>
                <w:color w:val="000000"/>
                <w:kern w:val="0"/>
                <w:sz w:val="20"/>
                <w:szCs w:val="20"/>
              </w:rPr>
              <w:t>1</w:t>
            </w:r>
          </w:p>
        </w:tc>
        <w:tc>
          <w:tcPr>
            <w:tcW w:w="2688"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eastAsia" w:ascii="黑体" w:hAnsi="黑体" w:eastAsia="黑体" w:cs="黑体"/>
                <w:color w:val="000000"/>
                <w:kern w:val="0"/>
                <w:sz w:val="20"/>
                <w:szCs w:val="20"/>
              </w:rPr>
            </w:pPr>
            <w:r>
              <w:rPr>
                <w:rFonts w:hint="eastAsia" w:ascii="黑体" w:hAnsi="黑体" w:eastAsia="黑体" w:cs="黑体"/>
                <w:color w:val="000000"/>
                <w:kern w:val="0"/>
                <w:sz w:val="20"/>
                <w:szCs w:val="20"/>
              </w:rPr>
              <w:t>中心管理服务器</w:t>
            </w:r>
          </w:p>
        </w:tc>
        <w:tc>
          <w:tcPr>
            <w:tcW w:w="1137" w:type="dxa"/>
            <w:tcBorders>
              <w:top w:val="single" w:color="auto" w:sz="4" w:space="0"/>
              <w:left w:val="nil"/>
              <w:bottom w:val="single" w:color="auto" w:sz="4" w:space="0"/>
              <w:right w:val="single" w:color="auto" w:sz="4" w:space="0"/>
            </w:tcBorders>
          </w:tcPr>
          <w:p>
            <w:pPr>
              <w:widowControl/>
              <w:jc w:val="right"/>
              <w:rPr>
                <w:rFonts w:hint="eastAsia" w:ascii="黑体" w:hAnsi="黑体" w:eastAsia="黑体" w:cs="黑体"/>
                <w:color w:val="000000"/>
                <w:kern w:val="0"/>
                <w:sz w:val="20"/>
                <w:szCs w:val="20"/>
              </w:rPr>
            </w:pPr>
            <w:r>
              <w:rPr>
                <w:rFonts w:hint="eastAsia" w:ascii="黑体" w:hAnsi="黑体" w:eastAsia="黑体" w:cs="黑体"/>
                <w:color w:val="000000"/>
                <w:kern w:val="0"/>
                <w:sz w:val="20"/>
                <w:szCs w:val="20"/>
              </w:rPr>
              <w:t>1</w:t>
            </w:r>
          </w:p>
        </w:tc>
        <w:tc>
          <w:tcPr>
            <w:tcW w:w="1453" w:type="dxa"/>
            <w:tcBorders>
              <w:top w:val="single" w:color="auto" w:sz="4" w:space="0"/>
              <w:left w:val="nil"/>
              <w:bottom w:val="single" w:color="auto" w:sz="4" w:space="0"/>
              <w:right w:val="single" w:color="auto" w:sz="4" w:space="0"/>
            </w:tcBorders>
          </w:tcPr>
          <w:p>
            <w:pPr>
              <w:widowControl/>
              <w:jc w:val="center"/>
              <w:rPr>
                <w:rFonts w:hint="eastAsia" w:ascii="黑体" w:hAnsi="黑体" w:eastAsia="黑体" w:cs="黑体"/>
                <w:color w:val="000000"/>
                <w:kern w:val="0"/>
                <w:sz w:val="20"/>
                <w:szCs w:val="20"/>
              </w:rPr>
            </w:pPr>
            <w:r>
              <w:rPr>
                <w:rFonts w:hint="eastAsia" w:ascii="黑体" w:hAnsi="黑体" w:eastAsia="黑体" w:cs="黑体"/>
                <w:color w:val="000000"/>
                <w:kern w:val="0"/>
                <w:sz w:val="20"/>
                <w:szCs w:val="20"/>
              </w:rPr>
              <w:t>台</w:t>
            </w:r>
          </w:p>
        </w:tc>
        <w:tc>
          <w:tcPr>
            <w:tcW w:w="1552" w:type="dxa"/>
            <w:tcBorders>
              <w:top w:val="single" w:color="auto" w:sz="4" w:space="0"/>
              <w:left w:val="nil"/>
              <w:bottom w:val="single" w:color="auto" w:sz="4" w:space="0"/>
              <w:right w:val="single" w:color="auto" w:sz="4" w:space="0"/>
            </w:tcBorders>
          </w:tcPr>
          <w:p>
            <w:pPr>
              <w:widowControl/>
              <w:jc w:val="left"/>
              <w:rPr>
                <w:rFonts w:hint="eastAsia" w:ascii="黑体" w:hAnsi="黑体" w:eastAsia="黑体" w:cs="黑体"/>
                <w:color w:val="000000"/>
                <w:kern w:val="0"/>
                <w:sz w:val="20"/>
                <w:szCs w:val="20"/>
              </w:rPr>
            </w:pPr>
          </w:p>
        </w:tc>
        <w:tc>
          <w:tcPr>
            <w:tcW w:w="1380" w:type="dxa"/>
            <w:tcBorders>
              <w:top w:val="single" w:color="auto" w:sz="4" w:space="0"/>
              <w:left w:val="nil"/>
              <w:bottom w:val="single" w:color="auto" w:sz="4" w:space="0"/>
              <w:right w:val="single" w:color="auto" w:sz="4" w:space="0"/>
            </w:tcBorders>
          </w:tcPr>
          <w:p>
            <w:pPr>
              <w:widowControl/>
              <w:jc w:val="left"/>
              <w:rPr>
                <w:rFonts w:hint="eastAsia" w:ascii="黑体" w:hAnsi="黑体" w:eastAsia="黑体" w:cs="黑体"/>
                <w:color w:val="000000"/>
                <w:kern w:val="0"/>
                <w:sz w:val="20"/>
                <w:szCs w:val="20"/>
              </w:rPr>
            </w:pPr>
          </w:p>
        </w:tc>
      </w:tr>
      <w:tr>
        <w:tblPrEx>
          <w:tblLayout w:type="fixed"/>
          <w:tblCellMar>
            <w:top w:w="0" w:type="dxa"/>
            <w:left w:w="108" w:type="dxa"/>
            <w:bottom w:w="0" w:type="dxa"/>
            <w:right w:w="108" w:type="dxa"/>
          </w:tblCellMar>
        </w:tblPrEx>
        <w:trPr>
          <w:trHeight w:val="527" w:hRule="atLeast"/>
        </w:trPr>
        <w:tc>
          <w:tcPr>
            <w:tcW w:w="96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0"/>
                <w:szCs w:val="20"/>
              </w:rPr>
            </w:pPr>
            <w:r>
              <w:rPr>
                <w:rFonts w:hint="eastAsia" w:ascii="黑体" w:hAnsi="黑体" w:eastAsia="黑体" w:cs="黑体"/>
                <w:color w:val="000000"/>
                <w:kern w:val="0"/>
                <w:sz w:val="20"/>
                <w:szCs w:val="20"/>
              </w:rPr>
              <w:t>2</w:t>
            </w:r>
          </w:p>
        </w:tc>
        <w:tc>
          <w:tcPr>
            <w:tcW w:w="2688"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eastAsia" w:ascii="黑体" w:hAnsi="黑体" w:eastAsia="黑体" w:cs="黑体"/>
                <w:color w:val="000000"/>
                <w:kern w:val="0"/>
                <w:sz w:val="20"/>
                <w:szCs w:val="20"/>
              </w:rPr>
            </w:pPr>
            <w:r>
              <w:rPr>
                <w:rFonts w:hint="eastAsia" w:ascii="黑体" w:hAnsi="黑体" w:eastAsia="黑体" w:cs="黑体"/>
                <w:color w:val="000000"/>
                <w:kern w:val="0"/>
                <w:sz w:val="20"/>
                <w:szCs w:val="20"/>
              </w:rPr>
              <w:t>存储服务器</w:t>
            </w:r>
          </w:p>
        </w:tc>
        <w:tc>
          <w:tcPr>
            <w:tcW w:w="1137" w:type="dxa"/>
            <w:tcBorders>
              <w:top w:val="single" w:color="auto" w:sz="4" w:space="0"/>
              <w:left w:val="nil"/>
              <w:bottom w:val="single" w:color="auto" w:sz="4" w:space="0"/>
              <w:right w:val="single" w:color="auto" w:sz="4" w:space="0"/>
            </w:tcBorders>
          </w:tcPr>
          <w:p>
            <w:pPr>
              <w:widowControl/>
              <w:jc w:val="right"/>
              <w:rPr>
                <w:rFonts w:hint="eastAsia" w:ascii="黑体" w:hAnsi="黑体" w:eastAsia="黑体" w:cs="黑体"/>
                <w:color w:val="000000"/>
                <w:kern w:val="0"/>
                <w:sz w:val="20"/>
                <w:szCs w:val="20"/>
              </w:rPr>
            </w:pPr>
            <w:r>
              <w:rPr>
                <w:rFonts w:hint="eastAsia" w:ascii="黑体" w:hAnsi="黑体" w:eastAsia="黑体" w:cs="黑体"/>
                <w:color w:val="000000"/>
                <w:kern w:val="0"/>
                <w:sz w:val="20"/>
                <w:szCs w:val="20"/>
              </w:rPr>
              <w:t>1</w:t>
            </w:r>
          </w:p>
        </w:tc>
        <w:tc>
          <w:tcPr>
            <w:tcW w:w="1453" w:type="dxa"/>
            <w:tcBorders>
              <w:top w:val="single" w:color="auto" w:sz="4" w:space="0"/>
              <w:left w:val="nil"/>
              <w:bottom w:val="single" w:color="auto" w:sz="4" w:space="0"/>
              <w:right w:val="single" w:color="auto" w:sz="4" w:space="0"/>
            </w:tcBorders>
          </w:tcPr>
          <w:p>
            <w:pPr>
              <w:widowControl/>
              <w:jc w:val="center"/>
              <w:rPr>
                <w:rFonts w:hint="eastAsia" w:ascii="黑体" w:hAnsi="黑体" w:eastAsia="黑体" w:cs="黑体"/>
                <w:color w:val="000000"/>
                <w:kern w:val="0"/>
                <w:sz w:val="20"/>
                <w:szCs w:val="20"/>
              </w:rPr>
            </w:pPr>
            <w:r>
              <w:rPr>
                <w:rFonts w:hint="eastAsia" w:ascii="黑体" w:hAnsi="黑体" w:eastAsia="黑体" w:cs="黑体"/>
                <w:color w:val="000000"/>
                <w:kern w:val="0"/>
                <w:sz w:val="20"/>
                <w:szCs w:val="20"/>
              </w:rPr>
              <w:t>台</w:t>
            </w:r>
          </w:p>
        </w:tc>
        <w:tc>
          <w:tcPr>
            <w:tcW w:w="1552" w:type="dxa"/>
            <w:tcBorders>
              <w:top w:val="single" w:color="auto" w:sz="4" w:space="0"/>
              <w:left w:val="nil"/>
              <w:bottom w:val="single" w:color="auto" w:sz="4" w:space="0"/>
              <w:right w:val="single" w:color="auto" w:sz="4" w:space="0"/>
            </w:tcBorders>
          </w:tcPr>
          <w:p>
            <w:pPr>
              <w:widowControl/>
              <w:jc w:val="left"/>
              <w:rPr>
                <w:rFonts w:hint="eastAsia" w:ascii="黑体" w:hAnsi="黑体" w:eastAsia="黑体" w:cs="黑体"/>
                <w:color w:val="000000"/>
                <w:kern w:val="0"/>
                <w:sz w:val="20"/>
                <w:szCs w:val="20"/>
              </w:rPr>
            </w:pPr>
          </w:p>
        </w:tc>
        <w:tc>
          <w:tcPr>
            <w:tcW w:w="1380" w:type="dxa"/>
            <w:tcBorders>
              <w:top w:val="single" w:color="auto" w:sz="4" w:space="0"/>
              <w:left w:val="nil"/>
              <w:bottom w:val="single" w:color="auto" w:sz="4" w:space="0"/>
              <w:right w:val="single" w:color="auto" w:sz="4" w:space="0"/>
            </w:tcBorders>
          </w:tcPr>
          <w:p>
            <w:pPr>
              <w:widowControl/>
              <w:jc w:val="left"/>
              <w:rPr>
                <w:rFonts w:hint="eastAsia" w:ascii="黑体" w:hAnsi="黑体" w:eastAsia="黑体" w:cs="黑体"/>
                <w:color w:val="000000"/>
                <w:kern w:val="0"/>
                <w:sz w:val="20"/>
                <w:szCs w:val="20"/>
              </w:rPr>
            </w:pPr>
          </w:p>
        </w:tc>
      </w:tr>
      <w:tr>
        <w:tblPrEx>
          <w:tblLayout w:type="fixed"/>
          <w:tblCellMar>
            <w:top w:w="0" w:type="dxa"/>
            <w:left w:w="108" w:type="dxa"/>
            <w:bottom w:w="0" w:type="dxa"/>
            <w:right w:w="108" w:type="dxa"/>
          </w:tblCellMar>
        </w:tblPrEx>
        <w:trPr>
          <w:trHeight w:val="280" w:hRule="atLeast"/>
        </w:trPr>
        <w:tc>
          <w:tcPr>
            <w:tcW w:w="96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0"/>
                <w:szCs w:val="20"/>
              </w:rPr>
            </w:pPr>
            <w:r>
              <w:rPr>
                <w:rFonts w:hint="eastAsia" w:ascii="黑体" w:hAnsi="黑体" w:eastAsia="黑体" w:cs="黑体"/>
                <w:color w:val="000000"/>
                <w:kern w:val="0"/>
                <w:sz w:val="20"/>
                <w:szCs w:val="20"/>
              </w:rPr>
              <w:t>3</w:t>
            </w:r>
          </w:p>
        </w:tc>
        <w:tc>
          <w:tcPr>
            <w:tcW w:w="2688" w:type="dxa"/>
            <w:tcBorders>
              <w:top w:val="single" w:color="auto" w:sz="4" w:space="0"/>
              <w:left w:val="nil"/>
              <w:bottom w:val="single" w:color="auto" w:sz="4" w:space="0"/>
              <w:right w:val="single" w:color="auto" w:sz="4" w:space="0"/>
            </w:tcBorders>
            <w:shd w:val="clear" w:color="auto" w:fill="auto"/>
            <w:noWrap/>
          </w:tcPr>
          <w:p>
            <w:pPr>
              <w:widowControl/>
              <w:jc w:val="left"/>
              <w:rPr>
                <w:rFonts w:hint="eastAsia" w:ascii="黑体" w:hAnsi="黑体" w:eastAsia="黑体" w:cs="黑体"/>
                <w:color w:val="000000"/>
                <w:kern w:val="0"/>
                <w:sz w:val="20"/>
                <w:szCs w:val="20"/>
              </w:rPr>
            </w:pPr>
            <w:r>
              <w:rPr>
                <w:rFonts w:hint="eastAsia" w:ascii="黑体" w:hAnsi="黑体" w:eastAsia="黑体" w:cs="黑体"/>
                <w:color w:val="000000"/>
                <w:kern w:val="0"/>
                <w:sz w:val="20"/>
                <w:szCs w:val="20"/>
                <w:lang w:val="en-US" w:eastAsia="zh-CN"/>
              </w:rPr>
              <w:t>6T</w:t>
            </w:r>
            <w:r>
              <w:rPr>
                <w:rFonts w:hint="eastAsia" w:ascii="黑体" w:hAnsi="黑体" w:eastAsia="黑体" w:cs="黑体"/>
                <w:color w:val="000000"/>
                <w:kern w:val="0"/>
                <w:sz w:val="20"/>
                <w:szCs w:val="20"/>
              </w:rPr>
              <w:t>监控硬盘</w:t>
            </w:r>
          </w:p>
        </w:tc>
        <w:tc>
          <w:tcPr>
            <w:tcW w:w="1137" w:type="dxa"/>
            <w:tcBorders>
              <w:top w:val="single" w:color="auto" w:sz="4" w:space="0"/>
              <w:left w:val="nil"/>
              <w:bottom w:val="single" w:color="auto" w:sz="4" w:space="0"/>
              <w:right w:val="single" w:color="auto" w:sz="4" w:space="0"/>
            </w:tcBorders>
          </w:tcPr>
          <w:p>
            <w:pPr>
              <w:widowControl/>
              <w:jc w:val="right"/>
              <w:rPr>
                <w:rFonts w:hint="eastAsia" w:ascii="黑体" w:hAnsi="黑体" w:eastAsia="黑体" w:cs="黑体"/>
                <w:color w:val="000000"/>
                <w:kern w:val="0"/>
                <w:sz w:val="20"/>
                <w:szCs w:val="20"/>
              </w:rPr>
            </w:pPr>
            <w:r>
              <w:rPr>
                <w:rFonts w:hint="eastAsia" w:ascii="黑体" w:hAnsi="黑体" w:eastAsia="黑体" w:cs="黑体"/>
                <w:color w:val="000000"/>
                <w:kern w:val="0"/>
                <w:sz w:val="20"/>
                <w:szCs w:val="20"/>
              </w:rPr>
              <w:t>16</w:t>
            </w:r>
          </w:p>
        </w:tc>
        <w:tc>
          <w:tcPr>
            <w:tcW w:w="1453" w:type="dxa"/>
            <w:tcBorders>
              <w:top w:val="single" w:color="auto" w:sz="4" w:space="0"/>
              <w:left w:val="nil"/>
              <w:bottom w:val="single" w:color="auto" w:sz="4" w:space="0"/>
              <w:right w:val="single" w:color="auto" w:sz="4" w:space="0"/>
            </w:tcBorders>
          </w:tcPr>
          <w:p>
            <w:pPr>
              <w:widowControl/>
              <w:jc w:val="center"/>
              <w:rPr>
                <w:rFonts w:hint="eastAsia" w:ascii="黑体" w:hAnsi="黑体" w:eastAsia="黑体" w:cs="黑体"/>
                <w:color w:val="000000"/>
                <w:kern w:val="0"/>
                <w:sz w:val="20"/>
                <w:szCs w:val="20"/>
                <w:lang w:val="en-US" w:eastAsia="zh-CN"/>
              </w:rPr>
            </w:pPr>
            <w:r>
              <w:rPr>
                <w:rFonts w:hint="eastAsia" w:ascii="黑体" w:hAnsi="黑体" w:eastAsia="黑体" w:cs="黑体"/>
                <w:color w:val="000000"/>
                <w:kern w:val="0"/>
                <w:sz w:val="20"/>
                <w:szCs w:val="20"/>
                <w:lang w:val="en-US" w:eastAsia="zh-CN"/>
              </w:rPr>
              <w:t>块</w:t>
            </w:r>
          </w:p>
        </w:tc>
        <w:tc>
          <w:tcPr>
            <w:tcW w:w="1552" w:type="dxa"/>
            <w:tcBorders>
              <w:top w:val="single" w:color="auto" w:sz="4" w:space="0"/>
              <w:left w:val="nil"/>
              <w:bottom w:val="single" w:color="auto" w:sz="4" w:space="0"/>
              <w:right w:val="single" w:color="auto" w:sz="4" w:space="0"/>
            </w:tcBorders>
          </w:tcPr>
          <w:p>
            <w:pPr>
              <w:widowControl/>
              <w:jc w:val="left"/>
              <w:rPr>
                <w:rFonts w:hint="eastAsia" w:ascii="黑体" w:hAnsi="黑体" w:eastAsia="黑体" w:cs="黑体"/>
                <w:color w:val="000000"/>
                <w:kern w:val="0"/>
                <w:sz w:val="20"/>
                <w:szCs w:val="20"/>
              </w:rPr>
            </w:pPr>
          </w:p>
        </w:tc>
        <w:tc>
          <w:tcPr>
            <w:tcW w:w="1380" w:type="dxa"/>
            <w:tcBorders>
              <w:top w:val="single" w:color="auto" w:sz="4" w:space="0"/>
              <w:left w:val="nil"/>
              <w:bottom w:val="single" w:color="auto" w:sz="4" w:space="0"/>
              <w:right w:val="single" w:color="auto" w:sz="4" w:space="0"/>
            </w:tcBorders>
          </w:tcPr>
          <w:p>
            <w:pPr>
              <w:widowControl/>
              <w:jc w:val="left"/>
              <w:rPr>
                <w:rFonts w:hint="eastAsia" w:ascii="黑体" w:hAnsi="黑体" w:eastAsia="黑体" w:cs="黑体"/>
                <w:color w:val="000000"/>
                <w:kern w:val="0"/>
                <w:sz w:val="20"/>
                <w:szCs w:val="20"/>
              </w:rPr>
            </w:pPr>
          </w:p>
        </w:tc>
      </w:tr>
      <w:tr>
        <w:tblPrEx>
          <w:tblLayout w:type="fixed"/>
          <w:tblCellMar>
            <w:top w:w="0" w:type="dxa"/>
            <w:left w:w="108" w:type="dxa"/>
            <w:bottom w:w="0" w:type="dxa"/>
            <w:right w:w="108" w:type="dxa"/>
          </w:tblCellMar>
        </w:tblPrEx>
        <w:trPr>
          <w:trHeight w:val="396" w:hRule="atLeast"/>
        </w:trPr>
        <w:tc>
          <w:tcPr>
            <w:tcW w:w="96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0"/>
                <w:szCs w:val="20"/>
              </w:rPr>
            </w:pPr>
            <w:r>
              <w:rPr>
                <w:rFonts w:hint="eastAsia" w:ascii="黑体" w:hAnsi="黑体" w:eastAsia="黑体" w:cs="黑体"/>
                <w:color w:val="000000"/>
                <w:kern w:val="0"/>
                <w:sz w:val="20"/>
                <w:szCs w:val="20"/>
              </w:rPr>
              <w:t>4</w:t>
            </w:r>
          </w:p>
        </w:tc>
        <w:tc>
          <w:tcPr>
            <w:tcW w:w="2688" w:type="dxa"/>
            <w:tcBorders>
              <w:top w:val="single" w:color="auto" w:sz="4" w:space="0"/>
              <w:left w:val="nil"/>
              <w:bottom w:val="single" w:color="auto" w:sz="4" w:space="0"/>
              <w:right w:val="single" w:color="auto" w:sz="4" w:space="0"/>
            </w:tcBorders>
            <w:shd w:val="clear" w:color="auto" w:fill="auto"/>
            <w:noWrap/>
          </w:tcPr>
          <w:p>
            <w:pPr>
              <w:widowControl/>
              <w:jc w:val="left"/>
              <w:rPr>
                <w:rFonts w:hint="eastAsia" w:ascii="黑体" w:hAnsi="黑体" w:eastAsia="黑体" w:cs="黑体"/>
                <w:color w:val="000000"/>
                <w:kern w:val="0"/>
                <w:sz w:val="20"/>
                <w:szCs w:val="20"/>
              </w:rPr>
            </w:pPr>
            <w:r>
              <w:rPr>
                <w:rFonts w:hint="eastAsia" w:ascii="黑体" w:hAnsi="黑体" w:eastAsia="黑体" w:cs="黑体"/>
                <w:color w:val="000000"/>
                <w:kern w:val="0"/>
                <w:sz w:val="20"/>
                <w:szCs w:val="20"/>
              </w:rPr>
              <w:t>人工智能服务器</w:t>
            </w:r>
          </w:p>
        </w:tc>
        <w:tc>
          <w:tcPr>
            <w:tcW w:w="1137" w:type="dxa"/>
            <w:tcBorders>
              <w:top w:val="single" w:color="auto" w:sz="4" w:space="0"/>
              <w:left w:val="nil"/>
              <w:bottom w:val="single" w:color="auto" w:sz="4" w:space="0"/>
              <w:right w:val="single" w:color="auto" w:sz="4" w:space="0"/>
            </w:tcBorders>
          </w:tcPr>
          <w:p>
            <w:pPr>
              <w:widowControl/>
              <w:jc w:val="right"/>
              <w:rPr>
                <w:rFonts w:hint="eastAsia" w:ascii="黑体" w:hAnsi="黑体" w:eastAsia="黑体" w:cs="黑体"/>
                <w:color w:val="000000"/>
                <w:kern w:val="0"/>
                <w:sz w:val="20"/>
                <w:szCs w:val="20"/>
              </w:rPr>
            </w:pPr>
            <w:r>
              <w:rPr>
                <w:rFonts w:hint="eastAsia" w:ascii="黑体" w:hAnsi="黑体" w:eastAsia="黑体" w:cs="黑体"/>
                <w:color w:val="000000"/>
                <w:kern w:val="0"/>
                <w:sz w:val="20"/>
                <w:szCs w:val="20"/>
              </w:rPr>
              <w:t>1</w:t>
            </w:r>
          </w:p>
        </w:tc>
        <w:tc>
          <w:tcPr>
            <w:tcW w:w="1453" w:type="dxa"/>
            <w:tcBorders>
              <w:top w:val="single" w:color="auto" w:sz="4" w:space="0"/>
              <w:left w:val="nil"/>
              <w:bottom w:val="single" w:color="auto" w:sz="4" w:space="0"/>
              <w:right w:val="single" w:color="auto" w:sz="4" w:space="0"/>
            </w:tcBorders>
          </w:tcPr>
          <w:p>
            <w:pPr>
              <w:widowControl/>
              <w:jc w:val="center"/>
              <w:rPr>
                <w:rFonts w:hint="eastAsia" w:ascii="黑体" w:hAnsi="黑体" w:eastAsia="黑体" w:cs="黑体"/>
                <w:color w:val="000000"/>
                <w:kern w:val="0"/>
                <w:sz w:val="20"/>
                <w:szCs w:val="20"/>
              </w:rPr>
            </w:pPr>
            <w:r>
              <w:rPr>
                <w:rFonts w:hint="eastAsia" w:ascii="黑体" w:hAnsi="黑体" w:eastAsia="黑体" w:cs="黑体"/>
                <w:color w:val="000000"/>
                <w:kern w:val="0"/>
                <w:sz w:val="20"/>
                <w:szCs w:val="20"/>
              </w:rPr>
              <w:t>台</w:t>
            </w:r>
          </w:p>
        </w:tc>
        <w:tc>
          <w:tcPr>
            <w:tcW w:w="1552" w:type="dxa"/>
            <w:tcBorders>
              <w:top w:val="single" w:color="auto" w:sz="4" w:space="0"/>
              <w:left w:val="nil"/>
              <w:bottom w:val="single" w:color="auto" w:sz="4" w:space="0"/>
              <w:right w:val="single" w:color="auto" w:sz="4" w:space="0"/>
            </w:tcBorders>
          </w:tcPr>
          <w:p>
            <w:pPr>
              <w:widowControl/>
              <w:jc w:val="left"/>
              <w:rPr>
                <w:rFonts w:hint="eastAsia" w:ascii="黑体" w:hAnsi="黑体" w:eastAsia="黑体" w:cs="黑体"/>
                <w:color w:val="000000"/>
                <w:kern w:val="0"/>
                <w:sz w:val="20"/>
                <w:szCs w:val="20"/>
              </w:rPr>
            </w:pPr>
          </w:p>
        </w:tc>
        <w:tc>
          <w:tcPr>
            <w:tcW w:w="1380" w:type="dxa"/>
            <w:tcBorders>
              <w:top w:val="single" w:color="auto" w:sz="4" w:space="0"/>
              <w:left w:val="nil"/>
              <w:bottom w:val="single" w:color="auto" w:sz="4" w:space="0"/>
              <w:right w:val="single" w:color="auto" w:sz="4" w:space="0"/>
            </w:tcBorders>
          </w:tcPr>
          <w:p>
            <w:pPr>
              <w:widowControl/>
              <w:jc w:val="left"/>
              <w:rPr>
                <w:rFonts w:hint="eastAsia" w:ascii="黑体" w:hAnsi="黑体" w:eastAsia="黑体" w:cs="黑体"/>
                <w:color w:val="000000"/>
                <w:kern w:val="0"/>
                <w:sz w:val="20"/>
                <w:szCs w:val="20"/>
              </w:rPr>
            </w:pPr>
          </w:p>
        </w:tc>
      </w:tr>
      <w:tr>
        <w:tblPrEx>
          <w:tblLayout w:type="fixed"/>
          <w:tblCellMar>
            <w:top w:w="0" w:type="dxa"/>
            <w:left w:w="108" w:type="dxa"/>
            <w:bottom w:w="0" w:type="dxa"/>
            <w:right w:w="108" w:type="dxa"/>
          </w:tblCellMar>
        </w:tblPrEx>
        <w:trPr>
          <w:trHeight w:val="558" w:hRule="atLeast"/>
        </w:trPr>
        <w:tc>
          <w:tcPr>
            <w:tcW w:w="96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0"/>
                <w:szCs w:val="20"/>
              </w:rPr>
            </w:pPr>
            <w:r>
              <w:rPr>
                <w:rFonts w:hint="eastAsia" w:ascii="黑体" w:hAnsi="黑体" w:eastAsia="黑体" w:cs="黑体"/>
                <w:color w:val="000000"/>
                <w:kern w:val="0"/>
                <w:sz w:val="20"/>
                <w:szCs w:val="20"/>
              </w:rPr>
              <w:t>5</w:t>
            </w:r>
          </w:p>
        </w:tc>
        <w:tc>
          <w:tcPr>
            <w:tcW w:w="2688"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eastAsia" w:ascii="黑体" w:hAnsi="黑体" w:eastAsia="黑体" w:cs="黑体"/>
                <w:color w:val="000000"/>
                <w:kern w:val="0"/>
                <w:sz w:val="20"/>
                <w:szCs w:val="20"/>
              </w:rPr>
            </w:pPr>
            <w:r>
              <w:rPr>
                <w:rFonts w:hint="eastAsia" w:ascii="黑体" w:hAnsi="黑体" w:eastAsia="黑体" w:cs="黑体"/>
                <w:color w:val="000000"/>
                <w:kern w:val="0"/>
                <w:sz w:val="20"/>
                <w:szCs w:val="20"/>
              </w:rPr>
              <w:t>防火墙</w:t>
            </w:r>
          </w:p>
        </w:tc>
        <w:tc>
          <w:tcPr>
            <w:tcW w:w="1137" w:type="dxa"/>
            <w:tcBorders>
              <w:top w:val="single" w:color="auto" w:sz="4" w:space="0"/>
              <w:left w:val="nil"/>
              <w:bottom w:val="single" w:color="auto" w:sz="4" w:space="0"/>
              <w:right w:val="single" w:color="auto" w:sz="4" w:space="0"/>
            </w:tcBorders>
          </w:tcPr>
          <w:p>
            <w:pPr>
              <w:widowControl/>
              <w:jc w:val="right"/>
              <w:rPr>
                <w:rFonts w:hint="eastAsia" w:ascii="黑体" w:hAnsi="黑体" w:eastAsia="黑体" w:cs="黑体"/>
                <w:color w:val="000000"/>
                <w:kern w:val="0"/>
                <w:sz w:val="20"/>
                <w:szCs w:val="20"/>
              </w:rPr>
            </w:pPr>
            <w:r>
              <w:rPr>
                <w:rFonts w:hint="eastAsia" w:ascii="黑体" w:hAnsi="黑体" w:eastAsia="黑体" w:cs="黑体"/>
                <w:color w:val="000000"/>
                <w:kern w:val="0"/>
                <w:sz w:val="20"/>
                <w:szCs w:val="20"/>
              </w:rPr>
              <w:t>1</w:t>
            </w:r>
          </w:p>
        </w:tc>
        <w:tc>
          <w:tcPr>
            <w:tcW w:w="1453" w:type="dxa"/>
            <w:tcBorders>
              <w:top w:val="single" w:color="auto" w:sz="4" w:space="0"/>
              <w:left w:val="nil"/>
              <w:bottom w:val="single" w:color="auto" w:sz="4" w:space="0"/>
              <w:right w:val="single" w:color="auto" w:sz="4" w:space="0"/>
            </w:tcBorders>
          </w:tcPr>
          <w:p>
            <w:pPr>
              <w:widowControl/>
              <w:jc w:val="center"/>
              <w:rPr>
                <w:rFonts w:hint="eastAsia" w:ascii="黑体" w:hAnsi="黑体" w:eastAsia="黑体" w:cs="黑体"/>
                <w:color w:val="000000"/>
                <w:kern w:val="0"/>
                <w:sz w:val="20"/>
                <w:szCs w:val="20"/>
              </w:rPr>
            </w:pPr>
            <w:r>
              <w:rPr>
                <w:rFonts w:hint="eastAsia" w:ascii="黑体" w:hAnsi="黑体" w:eastAsia="黑体" w:cs="黑体"/>
                <w:color w:val="000000"/>
                <w:kern w:val="0"/>
                <w:sz w:val="20"/>
                <w:szCs w:val="20"/>
              </w:rPr>
              <w:t>台</w:t>
            </w:r>
          </w:p>
        </w:tc>
        <w:tc>
          <w:tcPr>
            <w:tcW w:w="1552" w:type="dxa"/>
            <w:tcBorders>
              <w:top w:val="single" w:color="auto" w:sz="4" w:space="0"/>
              <w:left w:val="nil"/>
              <w:bottom w:val="single" w:color="auto" w:sz="4" w:space="0"/>
              <w:right w:val="single" w:color="auto" w:sz="4" w:space="0"/>
            </w:tcBorders>
          </w:tcPr>
          <w:p>
            <w:pPr>
              <w:widowControl/>
              <w:jc w:val="left"/>
              <w:rPr>
                <w:rFonts w:hint="eastAsia" w:ascii="黑体" w:hAnsi="黑体" w:eastAsia="黑体" w:cs="黑体"/>
                <w:color w:val="000000"/>
                <w:kern w:val="0"/>
                <w:sz w:val="20"/>
                <w:szCs w:val="20"/>
              </w:rPr>
            </w:pPr>
          </w:p>
        </w:tc>
        <w:tc>
          <w:tcPr>
            <w:tcW w:w="1380" w:type="dxa"/>
            <w:tcBorders>
              <w:top w:val="single" w:color="auto" w:sz="4" w:space="0"/>
              <w:left w:val="nil"/>
              <w:bottom w:val="single" w:color="auto" w:sz="4" w:space="0"/>
              <w:right w:val="single" w:color="auto" w:sz="4" w:space="0"/>
            </w:tcBorders>
          </w:tcPr>
          <w:p>
            <w:pPr>
              <w:widowControl/>
              <w:jc w:val="left"/>
              <w:rPr>
                <w:rFonts w:hint="eastAsia" w:ascii="黑体" w:hAnsi="黑体" w:eastAsia="黑体" w:cs="黑体"/>
                <w:color w:val="000000"/>
                <w:kern w:val="0"/>
                <w:sz w:val="20"/>
                <w:szCs w:val="20"/>
              </w:rPr>
            </w:pPr>
          </w:p>
        </w:tc>
      </w:tr>
      <w:tr>
        <w:tblPrEx>
          <w:tblLayout w:type="fixed"/>
          <w:tblCellMar>
            <w:top w:w="0" w:type="dxa"/>
            <w:left w:w="108" w:type="dxa"/>
            <w:bottom w:w="0" w:type="dxa"/>
            <w:right w:w="108" w:type="dxa"/>
          </w:tblCellMar>
        </w:tblPrEx>
        <w:trPr>
          <w:trHeight w:val="562" w:hRule="atLeast"/>
        </w:trPr>
        <w:tc>
          <w:tcPr>
            <w:tcW w:w="96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0"/>
                <w:szCs w:val="20"/>
              </w:rPr>
            </w:pPr>
            <w:r>
              <w:rPr>
                <w:rFonts w:hint="eastAsia" w:ascii="黑体" w:hAnsi="黑体" w:eastAsia="黑体" w:cs="黑体"/>
                <w:color w:val="000000"/>
                <w:kern w:val="0"/>
                <w:sz w:val="20"/>
                <w:szCs w:val="20"/>
              </w:rPr>
              <w:t>6</w:t>
            </w:r>
          </w:p>
        </w:tc>
        <w:tc>
          <w:tcPr>
            <w:tcW w:w="2688"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eastAsia" w:ascii="黑体" w:hAnsi="黑体" w:eastAsia="黑体" w:cs="黑体"/>
                <w:color w:val="000000"/>
                <w:kern w:val="0"/>
                <w:sz w:val="20"/>
                <w:szCs w:val="20"/>
              </w:rPr>
            </w:pPr>
            <w:r>
              <w:rPr>
                <w:rFonts w:hint="eastAsia" w:ascii="黑体" w:hAnsi="黑体" w:eastAsia="黑体" w:cs="黑体"/>
                <w:color w:val="000000"/>
                <w:kern w:val="0"/>
                <w:sz w:val="20"/>
                <w:szCs w:val="20"/>
              </w:rPr>
              <w:t>汇聚交换机</w:t>
            </w:r>
          </w:p>
        </w:tc>
        <w:tc>
          <w:tcPr>
            <w:tcW w:w="1137" w:type="dxa"/>
            <w:tcBorders>
              <w:top w:val="single" w:color="auto" w:sz="4" w:space="0"/>
              <w:left w:val="nil"/>
              <w:bottom w:val="single" w:color="auto" w:sz="4" w:space="0"/>
              <w:right w:val="single" w:color="auto" w:sz="4" w:space="0"/>
            </w:tcBorders>
          </w:tcPr>
          <w:p>
            <w:pPr>
              <w:widowControl/>
              <w:jc w:val="right"/>
              <w:rPr>
                <w:rFonts w:hint="eastAsia" w:ascii="黑体" w:hAnsi="黑体" w:eastAsia="黑体" w:cs="黑体"/>
                <w:color w:val="000000"/>
                <w:kern w:val="0"/>
                <w:sz w:val="20"/>
                <w:szCs w:val="20"/>
              </w:rPr>
            </w:pPr>
            <w:r>
              <w:rPr>
                <w:rFonts w:hint="eastAsia" w:ascii="黑体" w:hAnsi="黑体" w:eastAsia="黑体" w:cs="黑体"/>
                <w:color w:val="000000"/>
                <w:kern w:val="0"/>
                <w:sz w:val="20"/>
                <w:szCs w:val="20"/>
              </w:rPr>
              <w:t>1</w:t>
            </w:r>
          </w:p>
        </w:tc>
        <w:tc>
          <w:tcPr>
            <w:tcW w:w="1453" w:type="dxa"/>
            <w:tcBorders>
              <w:top w:val="single" w:color="auto" w:sz="4" w:space="0"/>
              <w:left w:val="nil"/>
              <w:bottom w:val="single" w:color="auto" w:sz="4" w:space="0"/>
              <w:right w:val="single" w:color="auto" w:sz="4" w:space="0"/>
            </w:tcBorders>
          </w:tcPr>
          <w:p>
            <w:pPr>
              <w:widowControl/>
              <w:jc w:val="center"/>
              <w:rPr>
                <w:rFonts w:hint="eastAsia" w:ascii="黑体" w:hAnsi="黑体" w:eastAsia="黑体" w:cs="黑体"/>
                <w:color w:val="000000"/>
                <w:kern w:val="0"/>
                <w:sz w:val="20"/>
                <w:szCs w:val="20"/>
              </w:rPr>
            </w:pPr>
            <w:r>
              <w:rPr>
                <w:rFonts w:hint="eastAsia" w:ascii="黑体" w:hAnsi="黑体" w:eastAsia="黑体" w:cs="黑体"/>
                <w:color w:val="000000"/>
                <w:kern w:val="0"/>
                <w:sz w:val="20"/>
                <w:szCs w:val="20"/>
              </w:rPr>
              <w:t>台</w:t>
            </w:r>
          </w:p>
        </w:tc>
        <w:tc>
          <w:tcPr>
            <w:tcW w:w="1552" w:type="dxa"/>
            <w:tcBorders>
              <w:top w:val="single" w:color="auto" w:sz="4" w:space="0"/>
              <w:left w:val="nil"/>
              <w:bottom w:val="single" w:color="auto" w:sz="4" w:space="0"/>
              <w:right w:val="single" w:color="auto" w:sz="4" w:space="0"/>
            </w:tcBorders>
          </w:tcPr>
          <w:p>
            <w:pPr>
              <w:widowControl/>
              <w:jc w:val="left"/>
              <w:rPr>
                <w:rFonts w:hint="eastAsia" w:ascii="黑体" w:hAnsi="黑体" w:eastAsia="黑体" w:cs="黑体"/>
                <w:color w:val="000000"/>
                <w:kern w:val="0"/>
                <w:sz w:val="20"/>
                <w:szCs w:val="20"/>
              </w:rPr>
            </w:pPr>
          </w:p>
        </w:tc>
        <w:tc>
          <w:tcPr>
            <w:tcW w:w="1380" w:type="dxa"/>
            <w:tcBorders>
              <w:top w:val="single" w:color="auto" w:sz="4" w:space="0"/>
              <w:left w:val="nil"/>
              <w:bottom w:val="single" w:color="auto" w:sz="4" w:space="0"/>
              <w:right w:val="single" w:color="auto" w:sz="4" w:space="0"/>
            </w:tcBorders>
          </w:tcPr>
          <w:p>
            <w:pPr>
              <w:widowControl/>
              <w:jc w:val="left"/>
              <w:rPr>
                <w:rFonts w:hint="eastAsia" w:ascii="黑体" w:hAnsi="黑体" w:eastAsia="黑体" w:cs="黑体"/>
                <w:color w:val="000000"/>
                <w:kern w:val="0"/>
                <w:sz w:val="20"/>
                <w:szCs w:val="20"/>
              </w:rPr>
            </w:pPr>
          </w:p>
        </w:tc>
      </w:tr>
      <w:tr>
        <w:tblPrEx>
          <w:tblLayout w:type="fixed"/>
          <w:tblCellMar>
            <w:top w:w="0" w:type="dxa"/>
            <w:left w:w="108" w:type="dxa"/>
            <w:bottom w:w="0" w:type="dxa"/>
            <w:right w:w="108" w:type="dxa"/>
          </w:tblCellMar>
        </w:tblPrEx>
        <w:trPr>
          <w:trHeight w:val="290" w:hRule="atLeast"/>
        </w:trPr>
        <w:tc>
          <w:tcPr>
            <w:tcW w:w="96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0"/>
                <w:szCs w:val="20"/>
              </w:rPr>
            </w:pPr>
            <w:r>
              <w:rPr>
                <w:rFonts w:hint="eastAsia" w:ascii="黑体" w:hAnsi="黑体" w:eastAsia="黑体" w:cs="黑体"/>
                <w:color w:val="000000"/>
                <w:kern w:val="0"/>
                <w:sz w:val="20"/>
                <w:szCs w:val="20"/>
              </w:rPr>
              <w:t>7</w:t>
            </w:r>
          </w:p>
        </w:tc>
        <w:tc>
          <w:tcPr>
            <w:tcW w:w="2688" w:type="dxa"/>
            <w:tcBorders>
              <w:top w:val="single" w:color="auto" w:sz="4" w:space="0"/>
              <w:left w:val="nil"/>
              <w:bottom w:val="single" w:color="auto" w:sz="4" w:space="0"/>
              <w:right w:val="single" w:color="auto" w:sz="4" w:space="0"/>
            </w:tcBorders>
            <w:shd w:val="clear" w:color="auto" w:fill="auto"/>
            <w:noWrap/>
          </w:tcPr>
          <w:p>
            <w:pPr>
              <w:widowControl/>
              <w:jc w:val="left"/>
              <w:rPr>
                <w:rFonts w:hint="eastAsia" w:ascii="黑体" w:hAnsi="黑体" w:eastAsia="黑体" w:cs="黑体"/>
                <w:color w:val="000000"/>
                <w:kern w:val="0"/>
                <w:sz w:val="20"/>
                <w:szCs w:val="20"/>
              </w:rPr>
            </w:pPr>
            <w:r>
              <w:rPr>
                <w:rFonts w:hint="eastAsia" w:ascii="黑体" w:hAnsi="黑体" w:eastAsia="黑体" w:cs="黑体"/>
                <w:color w:val="000000"/>
                <w:kern w:val="0"/>
                <w:sz w:val="20"/>
                <w:szCs w:val="20"/>
              </w:rPr>
              <w:t>服务器机柜</w:t>
            </w:r>
          </w:p>
        </w:tc>
        <w:tc>
          <w:tcPr>
            <w:tcW w:w="1137" w:type="dxa"/>
            <w:tcBorders>
              <w:top w:val="single" w:color="auto" w:sz="4" w:space="0"/>
              <w:left w:val="nil"/>
              <w:bottom w:val="single" w:color="auto" w:sz="4" w:space="0"/>
              <w:right w:val="single" w:color="auto" w:sz="4" w:space="0"/>
            </w:tcBorders>
          </w:tcPr>
          <w:p>
            <w:pPr>
              <w:widowControl/>
              <w:jc w:val="right"/>
              <w:rPr>
                <w:rFonts w:hint="eastAsia" w:ascii="黑体" w:hAnsi="黑体" w:eastAsia="黑体" w:cs="黑体"/>
                <w:color w:val="000000"/>
                <w:kern w:val="0"/>
                <w:sz w:val="20"/>
                <w:szCs w:val="20"/>
              </w:rPr>
            </w:pPr>
            <w:r>
              <w:rPr>
                <w:rFonts w:hint="eastAsia" w:ascii="黑体" w:hAnsi="黑体" w:eastAsia="黑体" w:cs="黑体"/>
                <w:color w:val="000000"/>
                <w:kern w:val="0"/>
                <w:sz w:val="20"/>
                <w:szCs w:val="20"/>
              </w:rPr>
              <w:t>1</w:t>
            </w:r>
          </w:p>
        </w:tc>
        <w:tc>
          <w:tcPr>
            <w:tcW w:w="1453" w:type="dxa"/>
            <w:tcBorders>
              <w:top w:val="single" w:color="auto" w:sz="4" w:space="0"/>
              <w:left w:val="nil"/>
              <w:bottom w:val="single" w:color="auto" w:sz="4" w:space="0"/>
              <w:right w:val="single" w:color="auto" w:sz="4" w:space="0"/>
            </w:tcBorders>
          </w:tcPr>
          <w:p>
            <w:pPr>
              <w:widowControl/>
              <w:jc w:val="center"/>
              <w:rPr>
                <w:rFonts w:hint="eastAsia" w:ascii="黑体" w:hAnsi="黑体" w:eastAsia="黑体" w:cs="黑体"/>
                <w:color w:val="000000"/>
                <w:kern w:val="0"/>
                <w:sz w:val="20"/>
                <w:szCs w:val="20"/>
              </w:rPr>
            </w:pPr>
            <w:r>
              <w:rPr>
                <w:rFonts w:hint="eastAsia" w:ascii="黑体" w:hAnsi="黑体" w:eastAsia="黑体" w:cs="黑体"/>
                <w:color w:val="000000"/>
                <w:kern w:val="0"/>
                <w:sz w:val="20"/>
                <w:szCs w:val="20"/>
              </w:rPr>
              <w:t>台</w:t>
            </w:r>
          </w:p>
        </w:tc>
        <w:tc>
          <w:tcPr>
            <w:tcW w:w="1552" w:type="dxa"/>
            <w:tcBorders>
              <w:top w:val="single" w:color="auto" w:sz="4" w:space="0"/>
              <w:left w:val="nil"/>
              <w:bottom w:val="single" w:color="auto" w:sz="4" w:space="0"/>
              <w:right w:val="single" w:color="auto" w:sz="4" w:space="0"/>
            </w:tcBorders>
          </w:tcPr>
          <w:p>
            <w:pPr>
              <w:widowControl/>
              <w:jc w:val="left"/>
              <w:rPr>
                <w:rFonts w:hint="eastAsia" w:ascii="黑体" w:hAnsi="黑体" w:eastAsia="黑体" w:cs="黑体"/>
                <w:color w:val="000000"/>
                <w:kern w:val="0"/>
                <w:sz w:val="20"/>
                <w:szCs w:val="20"/>
              </w:rPr>
            </w:pPr>
          </w:p>
        </w:tc>
        <w:tc>
          <w:tcPr>
            <w:tcW w:w="1380" w:type="dxa"/>
            <w:tcBorders>
              <w:top w:val="single" w:color="auto" w:sz="4" w:space="0"/>
              <w:left w:val="nil"/>
              <w:bottom w:val="single" w:color="auto" w:sz="4" w:space="0"/>
              <w:right w:val="single" w:color="auto" w:sz="4" w:space="0"/>
            </w:tcBorders>
          </w:tcPr>
          <w:p>
            <w:pPr>
              <w:widowControl/>
              <w:jc w:val="left"/>
              <w:rPr>
                <w:rFonts w:hint="eastAsia" w:ascii="黑体" w:hAnsi="黑体" w:eastAsia="黑体" w:cs="黑体"/>
                <w:color w:val="000000"/>
                <w:kern w:val="0"/>
                <w:sz w:val="20"/>
                <w:szCs w:val="20"/>
              </w:rPr>
            </w:pPr>
          </w:p>
        </w:tc>
      </w:tr>
      <w:tr>
        <w:tblPrEx>
          <w:tblLayout w:type="fixed"/>
          <w:tblCellMar>
            <w:top w:w="0" w:type="dxa"/>
            <w:left w:w="108" w:type="dxa"/>
            <w:bottom w:w="0" w:type="dxa"/>
            <w:right w:w="108" w:type="dxa"/>
          </w:tblCellMar>
        </w:tblPrEx>
        <w:trPr>
          <w:trHeight w:val="379" w:hRule="atLeast"/>
        </w:trPr>
        <w:tc>
          <w:tcPr>
            <w:tcW w:w="96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0"/>
                <w:szCs w:val="20"/>
              </w:rPr>
            </w:pPr>
            <w:r>
              <w:rPr>
                <w:rFonts w:hint="eastAsia" w:ascii="黑体" w:hAnsi="黑体" w:eastAsia="黑体" w:cs="黑体"/>
                <w:color w:val="000000"/>
                <w:kern w:val="0"/>
                <w:sz w:val="20"/>
                <w:szCs w:val="20"/>
              </w:rPr>
              <w:t>8</w:t>
            </w:r>
          </w:p>
        </w:tc>
        <w:tc>
          <w:tcPr>
            <w:tcW w:w="2688" w:type="dxa"/>
            <w:tcBorders>
              <w:top w:val="single" w:color="auto" w:sz="4" w:space="0"/>
              <w:left w:val="nil"/>
              <w:bottom w:val="single" w:color="auto" w:sz="4" w:space="0"/>
              <w:right w:val="single" w:color="auto" w:sz="4" w:space="0"/>
            </w:tcBorders>
            <w:shd w:val="clear" w:color="auto" w:fill="auto"/>
          </w:tcPr>
          <w:p>
            <w:pPr>
              <w:widowControl/>
              <w:jc w:val="left"/>
              <w:rPr>
                <w:rFonts w:hint="eastAsia" w:ascii="黑体" w:hAnsi="黑体" w:eastAsia="黑体" w:cs="黑体"/>
                <w:color w:val="000000"/>
                <w:kern w:val="0"/>
                <w:sz w:val="20"/>
                <w:szCs w:val="20"/>
              </w:rPr>
            </w:pPr>
            <w:r>
              <w:rPr>
                <w:rFonts w:hint="eastAsia" w:ascii="黑体" w:hAnsi="黑体" w:eastAsia="黑体" w:cs="黑体"/>
                <w:color w:val="000000"/>
                <w:kern w:val="0"/>
                <w:sz w:val="20"/>
                <w:szCs w:val="20"/>
              </w:rPr>
              <w:t>UPS主机</w:t>
            </w:r>
          </w:p>
        </w:tc>
        <w:tc>
          <w:tcPr>
            <w:tcW w:w="1137" w:type="dxa"/>
            <w:tcBorders>
              <w:top w:val="single" w:color="auto" w:sz="4" w:space="0"/>
              <w:left w:val="nil"/>
              <w:bottom w:val="single" w:color="auto" w:sz="4" w:space="0"/>
              <w:right w:val="single" w:color="auto" w:sz="4" w:space="0"/>
            </w:tcBorders>
          </w:tcPr>
          <w:p>
            <w:pPr>
              <w:widowControl/>
              <w:jc w:val="right"/>
              <w:rPr>
                <w:rFonts w:hint="eastAsia" w:ascii="黑体" w:hAnsi="黑体" w:eastAsia="黑体" w:cs="黑体"/>
                <w:color w:val="000000"/>
                <w:kern w:val="0"/>
                <w:sz w:val="20"/>
                <w:szCs w:val="20"/>
              </w:rPr>
            </w:pPr>
            <w:r>
              <w:rPr>
                <w:rFonts w:hint="eastAsia" w:ascii="黑体" w:hAnsi="黑体" w:eastAsia="黑体" w:cs="黑体"/>
                <w:color w:val="000000"/>
                <w:kern w:val="0"/>
                <w:sz w:val="20"/>
                <w:szCs w:val="20"/>
              </w:rPr>
              <w:t>1</w:t>
            </w:r>
          </w:p>
        </w:tc>
        <w:tc>
          <w:tcPr>
            <w:tcW w:w="1453" w:type="dxa"/>
            <w:tcBorders>
              <w:top w:val="single" w:color="auto" w:sz="4" w:space="0"/>
              <w:left w:val="nil"/>
              <w:bottom w:val="single" w:color="auto" w:sz="4" w:space="0"/>
              <w:right w:val="single" w:color="auto" w:sz="4" w:space="0"/>
            </w:tcBorders>
          </w:tcPr>
          <w:p>
            <w:pPr>
              <w:widowControl/>
              <w:jc w:val="center"/>
              <w:rPr>
                <w:rFonts w:hint="eastAsia" w:ascii="黑体" w:hAnsi="黑体" w:eastAsia="黑体" w:cs="黑体"/>
                <w:color w:val="000000"/>
                <w:kern w:val="0"/>
                <w:sz w:val="20"/>
                <w:szCs w:val="20"/>
              </w:rPr>
            </w:pPr>
            <w:r>
              <w:rPr>
                <w:rFonts w:hint="eastAsia" w:ascii="黑体" w:hAnsi="黑体" w:eastAsia="黑体" w:cs="黑体"/>
                <w:color w:val="000000"/>
                <w:kern w:val="0"/>
                <w:sz w:val="20"/>
                <w:szCs w:val="20"/>
              </w:rPr>
              <w:t>台</w:t>
            </w:r>
          </w:p>
        </w:tc>
        <w:tc>
          <w:tcPr>
            <w:tcW w:w="1552" w:type="dxa"/>
            <w:tcBorders>
              <w:top w:val="single" w:color="auto" w:sz="4" w:space="0"/>
              <w:left w:val="nil"/>
              <w:bottom w:val="single" w:color="auto" w:sz="4" w:space="0"/>
              <w:right w:val="single" w:color="auto" w:sz="4" w:space="0"/>
            </w:tcBorders>
          </w:tcPr>
          <w:p>
            <w:pPr>
              <w:widowControl/>
              <w:jc w:val="left"/>
              <w:rPr>
                <w:rFonts w:hint="eastAsia" w:ascii="黑体" w:hAnsi="黑体" w:eastAsia="黑体" w:cs="黑体"/>
                <w:color w:val="000000"/>
                <w:kern w:val="0"/>
                <w:sz w:val="20"/>
                <w:szCs w:val="20"/>
              </w:rPr>
            </w:pPr>
          </w:p>
        </w:tc>
        <w:tc>
          <w:tcPr>
            <w:tcW w:w="1380" w:type="dxa"/>
            <w:tcBorders>
              <w:top w:val="single" w:color="auto" w:sz="4" w:space="0"/>
              <w:left w:val="nil"/>
              <w:bottom w:val="single" w:color="auto" w:sz="4" w:space="0"/>
              <w:right w:val="single" w:color="auto" w:sz="4" w:space="0"/>
            </w:tcBorders>
          </w:tcPr>
          <w:p>
            <w:pPr>
              <w:widowControl/>
              <w:jc w:val="left"/>
              <w:rPr>
                <w:rFonts w:hint="eastAsia" w:ascii="黑体" w:hAnsi="黑体" w:eastAsia="黑体" w:cs="黑体"/>
                <w:color w:val="000000"/>
                <w:kern w:val="0"/>
                <w:sz w:val="20"/>
                <w:szCs w:val="20"/>
              </w:rPr>
            </w:pPr>
          </w:p>
        </w:tc>
      </w:tr>
      <w:tr>
        <w:tblPrEx>
          <w:tblLayout w:type="fixed"/>
          <w:tblCellMar>
            <w:top w:w="0" w:type="dxa"/>
            <w:left w:w="108" w:type="dxa"/>
            <w:bottom w:w="0" w:type="dxa"/>
            <w:right w:w="108" w:type="dxa"/>
          </w:tblCellMar>
        </w:tblPrEx>
        <w:trPr>
          <w:trHeight w:val="413" w:hRule="atLeast"/>
        </w:trPr>
        <w:tc>
          <w:tcPr>
            <w:tcW w:w="96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0"/>
                <w:szCs w:val="20"/>
              </w:rPr>
            </w:pPr>
            <w:r>
              <w:rPr>
                <w:rFonts w:hint="eastAsia" w:ascii="黑体" w:hAnsi="黑体" w:eastAsia="黑体" w:cs="黑体"/>
                <w:color w:val="000000"/>
                <w:kern w:val="0"/>
                <w:sz w:val="20"/>
                <w:szCs w:val="20"/>
              </w:rPr>
              <w:t>9</w:t>
            </w:r>
          </w:p>
        </w:tc>
        <w:tc>
          <w:tcPr>
            <w:tcW w:w="2688"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hint="eastAsia" w:ascii="黑体" w:hAnsi="黑体" w:eastAsia="黑体" w:cs="黑体"/>
                <w:color w:val="000000"/>
                <w:kern w:val="0"/>
                <w:sz w:val="20"/>
                <w:szCs w:val="20"/>
              </w:rPr>
            </w:pPr>
            <w:r>
              <w:rPr>
                <w:rFonts w:hint="eastAsia" w:ascii="黑体" w:hAnsi="黑体" w:eastAsia="黑体" w:cs="黑体"/>
                <w:color w:val="000000"/>
                <w:kern w:val="0"/>
                <w:sz w:val="20"/>
                <w:szCs w:val="20"/>
              </w:rPr>
              <w:t>蓄电池</w:t>
            </w:r>
          </w:p>
        </w:tc>
        <w:tc>
          <w:tcPr>
            <w:tcW w:w="1137" w:type="dxa"/>
            <w:tcBorders>
              <w:top w:val="single" w:color="auto" w:sz="4" w:space="0"/>
              <w:left w:val="nil"/>
              <w:bottom w:val="single" w:color="auto" w:sz="4" w:space="0"/>
              <w:right w:val="single" w:color="auto" w:sz="4" w:space="0"/>
            </w:tcBorders>
          </w:tcPr>
          <w:p>
            <w:pPr>
              <w:widowControl/>
              <w:jc w:val="right"/>
              <w:rPr>
                <w:rFonts w:hint="eastAsia" w:ascii="黑体" w:hAnsi="黑体" w:eastAsia="黑体" w:cs="黑体"/>
                <w:color w:val="000000"/>
                <w:kern w:val="0"/>
                <w:sz w:val="20"/>
                <w:szCs w:val="20"/>
              </w:rPr>
            </w:pPr>
            <w:r>
              <w:rPr>
                <w:rFonts w:hint="eastAsia" w:ascii="黑体" w:hAnsi="黑体" w:eastAsia="黑体" w:cs="黑体"/>
                <w:color w:val="000000"/>
                <w:kern w:val="0"/>
                <w:sz w:val="20"/>
                <w:szCs w:val="20"/>
              </w:rPr>
              <w:t>16</w:t>
            </w:r>
          </w:p>
        </w:tc>
        <w:tc>
          <w:tcPr>
            <w:tcW w:w="1453" w:type="dxa"/>
            <w:tcBorders>
              <w:top w:val="single" w:color="auto" w:sz="4" w:space="0"/>
              <w:left w:val="nil"/>
              <w:bottom w:val="single" w:color="auto" w:sz="4" w:space="0"/>
              <w:right w:val="single" w:color="auto" w:sz="4" w:space="0"/>
            </w:tcBorders>
          </w:tcPr>
          <w:p>
            <w:pPr>
              <w:widowControl/>
              <w:jc w:val="center"/>
              <w:rPr>
                <w:rFonts w:hint="eastAsia" w:ascii="黑体" w:hAnsi="黑体" w:eastAsia="黑体" w:cs="黑体"/>
                <w:color w:val="000000"/>
                <w:kern w:val="0"/>
                <w:sz w:val="20"/>
                <w:szCs w:val="20"/>
                <w:lang w:val="en-US" w:eastAsia="zh-CN"/>
              </w:rPr>
            </w:pPr>
            <w:r>
              <w:rPr>
                <w:rFonts w:hint="eastAsia" w:ascii="黑体" w:hAnsi="黑体" w:eastAsia="黑体" w:cs="黑体"/>
                <w:color w:val="000000"/>
                <w:kern w:val="0"/>
                <w:sz w:val="20"/>
                <w:szCs w:val="20"/>
                <w:lang w:val="en-US" w:eastAsia="zh-CN"/>
              </w:rPr>
              <w:t>块</w:t>
            </w:r>
          </w:p>
        </w:tc>
        <w:tc>
          <w:tcPr>
            <w:tcW w:w="1552" w:type="dxa"/>
            <w:tcBorders>
              <w:top w:val="single" w:color="auto" w:sz="4" w:space="0"/>
              <w:left w:val="nil"/>
              <w:bottom w:val="single" w:color="auto" w:sz="4" w:space="0"/>
              <w:right w:val="single" w:color="auto" w:sz="4" w:space="0"/>
            </w:tcBorders>
          </w:tcPr>
          <w:p>
            <w:pPr>
              <w:widowControl/>
              <w:jc w:val="left"/>
              <w:rPr>
                <w:rFonts w:hint="eastAsia" w:ascii="黑体" w:hAnsi="黑体" w:eastAsia="黑体" w:cs="黑体"/>
                <w:color w:val="000000"/>
                <w:kern w:val="0"/>
                <w:sz w:val="20"/>
                <w:szCs w:val="20"/>
              </w:rPr>
            </w:pPr>
          </w:p>
        </w:tc>
        <w:tc>
          <w:tcPr>
            <w:tcW w:w="1380" w:type="dxa"/>
            <w:tcBorders>
              <w:top w:val="single" w:color="auto" w:sz="4" w:space="0"/>
              <w:left w:val="nil"/>
              <w:bottom w:val="single" w:color="auto" w:sz="4" w:space="0"/>
              <w:right w:val="single" w:color="auto" w:sz="4" w:space="0"/>
            </w:tcBorders>
          </w:tcPr>
          <w:p>
            <w:pPr>
              <w:widowControl/>
              <w:jc w:val="left"/>
              <w:rPr>
                <w:rFonts w:hint="eastAsia" w:ascii="黑体" w:hAnsi="黑体" w:eastAsia="黑体" w:cs="黑体"/>
                <w:color w:val="000000"/>
                <w:kern w:val="0"/>
                <w:sz w:val="20"/>
                <w:szCs w:val="20"/>
              </w:rPr>
            </w:pPr>
          </w:p>
        </w:tc>
      </w:tr>
      <w:tr>
        <w:tblPrEx>
          <w:tblLayout w:type="fixed"/>
          <w:tblCellMar>
            <w:top w:w="0" w:type="dxa"/>
            <w:left w:w="108" w:type="dxa"/>
            <w:bottom w:w="0" w:type="dxa"/>
            <w:right w:w="108" w:type="dxa"/>
          </w:tblCellMar>
        </w:tblPrEx>
        <w:trPr>
          <w:trHeight w:val="419" w:hRule="atLeast"/>
        </w:trPr>
        <w:tc>
          <w:tcPr>
            <w:tcW w:w="96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0"/>
                <w:szCs w:val="20"/>
              </w:rPr>
            </w:pPr>
            <w:r>
              <w:rPr>
                <w:rFonts w:hint="eastAsia" w:ascii="黑体" w:hAnsi="黑体" w:eastAsia="黑体" w:cs="黑体"/>
                <w:color w:val="000000"/>
                <w:kern w:val="0"/>
                <w:sz w:val="20"/>
                <w:szCs w:val="20"/>
              </w:rPr>
              <w:t>10</w:t>
            </w:r>
          </w:p>
        </w:tc>
        <w:tc>
          <w:tcPr>
            <w:tcW w:w="2688" w:type="dxa"/>
            <w:tcBorders>
              <w:top w:val="single" w:color="auto" w:sz="4" w:space="0"/>
              <w:left w:val="nil"/>
              <w:bottom w:val="single" w:color="auto" w:sz="4" w:space="0"/>
              <w:right w:val="single" w:color="auto" w:sz="4" w:space="0"/>
            </w:tcBorders>
            <w:shd w:val="clear" w:color="auto" w:fill="auto"/>
          </w:tcPr>
          <w:p>
            <w:pPr>
              <w:widowControl/>
              <w:jc w:val="left"/>
              <w:rPr>
                <w:rFonts w:hint="eastAsia" w:ascii="黑体" w:hAnsi="黑体" w:eastAsia="黑体" w:cs="黑体"/>
                <w:color w:val="000000"/>
                <w:kern w:val="0"/>
                <w:sz w:val="20"/>
                <w:szCs w:val="20"/>
              </w:rPr>
            </w:pPr>
            <w:r>
              <w:rPr>
                <w:rFonts w:hint="eastAsia" w:ascii="黑体" w:hAnsi="黑体" w:eastAsia="黑体" w:cs="黑体"/>
                <w:color w:val="000000"/>
                <w:kern w:val="0"/>
                <w:sz w:val="20"/>
                <w:szCs w:val="20"/>
              </w:rPr>
              <w:t>蓄电池柜</w:t>
            </w:r>
          </w:p>
        </w:tc>
        <w:tc>
          <w:tcPr>
            <w:tcW w:w="1137" w:type="dxa"/>
            <w:tcBorders>
              <w:top w:val="single" w:color="auto" w:sz="4" w:space="0"/>
              <w:left w:val="nil"/>
              <w:bottom w:val="single" w:color="auto" w:sz="4" w:space="0"/>
              <w:right w:val="single" w:color="auto" w:sz="4" w:space="0"/>
            </w:tcBorders>
          </w:tcPr>
          <w:p>
            <w:pPr>
              <w:widowControl/>
              <w:jc w:val="right"/>
              <w:rPr>
                <w:rFonts w:hint="eastAsia" w:ascii="黑体" w:hAnsi="黑体" w:eastAsia="黑体" w:cs="黑体"/>
                <w:color w:val="000000"/>
                <w:kern w:val="0"/>
                <w:sz w:val="20"/>
                <w:szCs w:val="20"/>
              </w:rPr>
            </w:pPr>
            <w:r>
              <w:rPr>
                <w:rFonts w:hint="eastAsia" w:ascii="黑体" w:hAnsi="黑体" w:eastAsia="黑体" w:cs="黑体"/>
                <w:color w:val="000000"/>
                <w:kern w:val="0"/>
                <w:sz w:val="20"/>
                <w:szCs w:val="20"/>
              </w:rPr>
              <w:t>1</w:t>
            </w:r>
          </w:p>
        </w:tc>
        <w:tc>
          <w:tcPr>
            <w:tcW w:w="1453" w:type="dxa"/>
            <w:tcBorders>
              <w:top w:val="single" w:color="auto" w:sz="4" w:space="0"/>
              <w:left w:val="nil"/>
              <w:bottom w:val="single" w:color="auto" w:sz="4" w:space="0"/>
              <w:right w:val="single" w:color="auto" w:sz="4" w:space="0"/>
            </w:tcBorders>
          </w:tcPr>
          <w:p>
            <w:pPr>
              <w:widowControl/>
              <w:jc w:val="center"/>
              <w:rPr>
                <w:rFonts w:hint="eastAsia" w:ascii="黑体" w:hAnsi="黑体" w:eastAsia="黑体" w:cs="黑体"/>
                <w:color w:val="000000"/>
                <w:kern w:val="0"/>
                <w:sz w:val="20"/>
                <w:szCs w:val="20"/>
              </w:rPr>
            </w:pPr>
            <w:r>
              <w:rPr>
                <w:rFonts w:hint="eastAsia" w:ascii="黑体" w:hAnsi="黑体" w:eastAsia="黑体" w:cs="黑体"/>
                <w:color w:val="000000"/>
                <w:kern w:val="0"/>
                <w:sz w:val="20"/>
                <w:szCs w:val="20"/>
              </w:rPr>
              <w:t>台</w:t>
            </w:r>
          </w:p>
        </w:tc>
        <w:tc>
          <w:tcPr>
            <w:tcW w:w="1552" w:type="dxa"/>
            <w:tcBorders>
              <w:top w:val="single" w:color="auto" w:sz="4" w:space="0"/>
              <w:left w:val="nil"/>
              <w:bottom w:val="single" w:color="auto" w:sz="4" w:space="0"/>
              <w:right w:val="single" w:color="auto" w:sz="4" w:space="0"/>
            </w:tcBorders>
          </w:tcPr>
          <w:p>
            <w:pPr>
              <w:widowControl/>
              <w:jc w:val="left"/>
              <w:rPr>
                <w:rFonts w:hint="eastAsia" w:ascii="黑体" w:hAnsi="黑体" w:eastAsia="黑体" w:cs="黑体"/>
                <w:color w:val="000000"/>
                <w:kern w:val="0"/>
                <w:sz w:val="20"/>
                <w:szCs w:val="20"/>
              </w:rPr>
            </w:pPr>
          </w:p>
        </w:tc>
        <w:tc>
          <w:tcPr>
            <w:tcW w:w="1380" w:type="dxa"/>
            <w:tcBorders>
              <w:top w:val="single" w:color="auto" w:sz="4" w:space="0"/>
              <w:left w:val="nil"/>
              <w:bottom w:val="single" w:color="auto" w:sz="4" w:space="0"/>
              <w:right w:val="single" w:color="auto" w:sz="4" w:space="0"/>
            </w:tcBorders>
          </w:tcPr>
          <w:p>
            <w:pPr>
              <w:widowControl/>
              <w:jc w:val="left"/>
              <w:rPr>
                <w:rFonts w:hint="eastAsia" w:ascii="黑体" w:hAnsi="黑体" w:eastAsia="黑体" w:cs="黑体"/>
                <w:color w:val="000000"/>
                <w:kern w:val="0"/>
                <w:sz w:val="20"/>
                <w:szCs w:val="20"/>
              </w:rPr>
            </w:pPr>
          </w:p>
        </w:tc>
      </w:tr>
      <w:tr>
        <w:tblPrEx>
          <w:tblLayout w:type="fixed"/>
          <w:tblCellMar>
            <w:top w:w="0" w:type="dxa"/>
            <w:left w:w="108" w:type="dxa"/>
            <w:bottom w:w="0" w:type="dxa"/>
            <w:right w:w="108" w:type="dxa"/>
          </w:tblCellMar>
        </w:tblPrEx>
        <w:trPr>
          <w:trHeight w:val="580" w:hRule="atLeast"/>
        </w:trPr>
        <w:tc>
          <w:tcPr>
            <w:tcW w:w="96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0"/>
                <w:szCs w:val="20"/>
              </w:rPr>
            </w:pPr>
            <w:r>
              <w:rPr>
                <w:rFonts w:hint="eastAsia" w:ascii="黑体" w:hAnsi="黑体" w:eastAsia="黑体" w:cs="黑体"/>
                <w:color w:val="000000"/>
                <w:kern w:val="0"/>
                <w:sz w:val="20"/>
                <w:szCs w:val="20"/>
              </w:rPr>
              <w:t>11</w:t>
            </w:r>
          </w:p>
        </w:tc>
        <w:tc>
          <w:tcPr>
            <w:tcW w:w="2688"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hint="eastAsia" w:ascii="黑体" w:hAnsi="黑体" w:eastAsia="黑体" w:cs="黑体"/>
                <w:kern w:val="0"/>
                <w:sz w:val="20"/>
                <w:szCs w:val="20"/>
              </w:rPr>
            </w:pPr>
            <w:r>
              <w:rPr>
                <w:rFonts w:hint="eastAsia" w:ascii="黑体" w:hAnsi="黑体" w:eastAsia="黑体" w:cs="黑体"/>
                <w:kern w:val="0"/>
                <w:sz w:val="20"/>
                <w:szCs w:val="20"/>
              </w:rPr>
              <w:t>Infovision NREE-iWR 智慧水务综合管理平台</w:t>
            </w:r>
          </w:p>
        </w:tc>
        <w:tc>
          <w:tcPr>
            <w:tcW w:w="1137" w:type="dxa"/>
            <w:tcBorders>
              <w:top w:val="single" w:color="auto" w:sz="4" w:space="0"/>
              <w:left w:val="single" w:color="auto" w:sz="4" w:space="0"/>
              <w:bottom w:val="single" w:color="auto" w:sz="4" w:space="0"/>
              <w:right w:val="single" w:color="auto" w:sz="4" w:space="0"/>
            </w:tcBorders>
            <w:shd w:val="clear" w:color="000000" w:fill="FFFFFF"/>
          </w:tcPr>
          <w:p>
            <w:pPr>
              <w:widowControl/>
              <w:jc w:val="right"/>
              <w:rPr>
                <w:rFonts w:hint="eastAsia" w:ascii="黑体" w:hAnsi="黑体" w:eastAsia="黑体" w:cs="黑体"/>
                <w:kern w:val="0"/>
                <w:sz w:val="20"/>
                <w:szCs w:val="20"/>
              </w:rPr>
            </w:pPr>
            <w:r>
              <w:rPr>
                <w:rFonts w:hint="eastAsia" w:ascii="黑体" w:hAnsi="黑体" w:eastAsia="黑体" w:cs="黑体"/>
                <w:kern w:val="0"/>
                <w:sz w:val="20"/>
                <w:szCs w:val="20"/>
              </w:rPr>
              <w:t>1</w:t>
            </w:r>
          </w:p>
        </w:tc>
        <w:tc>
          <w:tcPr>
            <w:tcW w:w="1453" w:type="dxa"/>
            <w:tcBorders>
              <w:top w:val="single" w:color="auto" w:sz="4" w:space="0"/>
              <w:left w:val="single" w:color="auto" w:sz="4" w:space="0"/>
              <w:bottom w:val="single" w:color="auto" w:sz="4" w:space="0"/>
              <w:right w:val="single" w:color="auto" w:sz="4" w:space="0"/>
            </w:tcBorders>
            <w:shd w:val="clear" w:color="000000" w:fill="FFFFFF"/>
          </w:tcPr>
          <w:p>
            <w:pPr>
              <w:widowControl/>
              <w:jc w:val="center"/>
              <w:rPr>
                <w:rFonts w:hint="eastAsia" w:ascii="黑体" w:hAnsi="黑体" w:eastAsia="黑体" w:cs="黑体"/>
                <w:kern w:val="0"/>
                <w:sz w:val="20"/>
                <w:szCs w:val="20"/>
              </w:rPr>
            </w:pPr>
            <w:r>
              <w:rPr>
                <w:rFonts w:hint="eastAsia" w:ascii="黑体" w:hAnsi="黑体" w:eastAsia="黑体" w:cs="黑体"/>
                <w:kern w:val="0"/>
                <w:sz w:val="20"/>
                <w:szCs w:val="20"/>
              </w:rPr>
              <w:t>套</w:t>
            </w:r>
          </w:p>
        </w:tc>
        <w:tc>
          <w:tcPr>
            <w:tcW w:w="1552" w:type="dxa"/>
            <w:tcBorders>
              <w:top w:val="single" w:color="auto" w:sz="4" w:space="0"/>
              <w:left w:val="single" w:color="auto" w:sz="4" w:space="0"/>
              <w:bottom w:val="single" w:color="auto" w:sz="4" w:space="0"/>
              <w:right w:val="single" w:color="auto" w:sz="4" w:space="0"/>
            </w:tcBorders>
            <w:shd w:val="clear" w:color="000000" w:fill="FFFFFF"/>
          </w:tcPr>
          <w:p>
            <w:pPr>
              <w:widowControl/>
              <w:jc w:val="center"/>
              <w:rPr>
                <w:rFonts w:hint="eastAsia" w:ascii="黑体" w:hAnsi="黑体" w:eastAsia="黑体" w:cs="黑体"/>
                <w:kern w:val="0"/>
                <w:sz w:val="20"/>
                <w:szCs w:val="20"/>
              </w:rPr>
            </w:pPr>
          </w:p>
        </w:tc>
        <w:tc>
          <w:tcPr>
            <w:tcW w:w="1380" w:type="dxa"/>
            <w:tcBorders>
              <w:top w:val="single" w:color="auto" w:sz="4" w:space="0"/>
              <w:left w:val="single" w:color="auto" w:sz="4" w:space="0"/>
              <w:bottom w:val="single" w:color="auto" w:sz="4" w:space="0"/>
              <w:right w:val="single" w:color="auto" w:sz="4" w:space="0"/>
            </w:tcBorders>
            <w:shd w:val="clear" w:color="000000" w:fill="FFFFFF"/>
          </w:tcPr>
          <w:p>
            <w:pPr>
              <w:widowControl/>
              <w:jc w:val="center"/>
              <w:rPr>
                <w:rFonts w:hint="eastAsia" w:ascii="黑体" w:hAnsi="黑体" w:eastAsia="黑体" w:cs="黑体"/>
                <w:kern w:val="0"/>
                <w:sz w:val="20"/>
                <w:szCs w:val="20"/>
              </w:rPr>
            </w:pPr>
          </w:p>
        </w:tc>
      </w:tr>
      <w:tr>
        <w:tblPrEx>
          <w:tblLayout w:type="fixed"/>
          <w:tblCellMar>
            <w:top w:w="0" w:type="dxa"/>
            <w:left w:w="108" w:type="dxa"/>
            <w:bottom w:w="0" w:type="dxa"/>
            <w:right w:w="108" w:type="dxa"/>
          </w:tblCellMar>
        </w:tblPrEx>
        <w:trPr>
          <w:trHeight w:val="740" w:hRule="atLeast"/>
        </w:trPr>
        <w:tc>
          <w:tcPr>
            <w:tcW w:w="96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0"/>
                <w:szCs w:val="20"/>
              </w:rPr>
            </w:pPr>
            <w:r>
              <w:rPr>
                <w:rFonts w:hint="eastAsia" w:ascii="黑体" w:hAnsi="黑体" w:eastAsia="黑体" w:cs="黑体"/>
                <w:color w:val="000000"/>
                <w:kern w:val="0"/>
                <w:sz w:val="20"/>
                <w:szCs w:val="20"/>
              </w:rPr>
              <w:t>12</w:t>
            </w:r>
          </w:p>
        </w:tc>
        <w:tc>
          <w:tcPr>
            <w:tcW w:w="2688"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rPr>
                <w:rFonts w:hint="eastAsia" w:ascii="黑体" w:hAnsi="黑体" w:eastAsia="黑体" w:cs="黑体"/>
                <w:color w:val="000000"/>
                <w:kern w:val="0"/>
                <w:sz w:val="20"/>
                <w:szCs w:val="20"/>
              </w:rPr>
            </w:pPr>
            <w:r>
              <w:rPr>
                <w:rFonts w:hint="eastAsia" w:ascii="黑体" w:hAnsi="黑体" w:eastAsia="黑体" w:cs="黑体"/>
                <w:color w:val="000000"/>
                <w:kern w:val="0"/>
                <w:sz w:val="20"/>
                <w:szCs w:val="20"/>
              </w:rPr>
              <w:t>软件二次开发</w:t>
            </w:r>
          </w:p>
        </w:tc>
        <w:tc>
          <w:tcPr>
            <w:tcW w:w="1137" w:type="dxa"/>
            <w:tcBorders>
              <w:top w:val="single" w:color="auto" w:sz="4" w:space="0"/>
              <w:left w:val="single" w:color="auto" w:sz="4" w:space="0"/>
              <w:bottom w:val="single" w:color="auto" w:sz="4" w:space="0"/>
              <w:right w:val="single" w:color="auto" w:sz="4" w:space="0"/>
            </w:tcBorders>
          </w:tcPr>
          <w:p>
            <w:pPr>
              <w:widowControl/>
              <w:jc w:val="right"/>
              <w:rPr>
                <w:rFonts w:hint="eastAsia" w:ascii="黑体" w:hAnsi="黑体" w:eastAsia="黑体" w:cs="黑体"/>
                <w:kern w:val="0"/>
                <w:sz w:val="20"/>
                <w:szCs w:val="20"/>
              </w:rPr>
            </w:pPr>
            <w:r>
              <w:rPr>
                <w:rFonts w:hint="eastAsia" w:ascii="黑体" w:hAnsi="黑体" w:eastAsia="黑体" w:cs="黑体"/>
                <w:kern w:val="0"/>
                <w:sz w:val="20"/>
                <w:szCs w:val="20"/>
              </w:rPr>
              <w:t>1</w:t>
            </w:r>
          </w:p>
        </w:tc>
        <w:tc>
          <w:tcPr>
            <w:tcW w:w="1453" w:type="dxa"/>
            <w:tcBorders>
              <w:top w:val="single" w:color="auto" w:sz="4" w:space="0"/>
              <w:left w:val="single" w:color="auto" w:sz="4" w:space="0"/>
              <w:bottom w:val="single" w:color="auto" w:sz="4" w:space="0"/>
              <w:right w:val="single" w:color="auto" w:sz="4" w:space="0"/>
            </w:tcBorders>
          </w:tcPr>
          <w:p>
            <w:pPr>
              <w:widowControl/>
              <w:jc w:val="center"/>
              <w:rPr>
                <w:rFonts w:hint="eastAsia" w:ascii="黑体" w:hAnsi="黑体" w:eastAsia="黑体" w:cs="黑体"/>
                <w:kern w:val="0"/>
                <w:sz w:val="20"/>
                <w:szCs w:val="20"/>
              </w:rPr>
            </w:pPr>
            <w:r>
              <w:rPr>
                <w:rFonts w:hint="eastAsia" w:ascii="黑体" w:hAnsi="黑体" w:eastAsia="黑体" w:cs="黑体"/>
                <w:kern w:val="0"/>
                <w:sz w:val="20"/>
                <w:szCs w:val="20"/>
              </w:rPr>
              <w:t>项</w:t>
            </w:r>
          </w:p>
        </w:tc>
        <w:tc>
          <w:tcPr>
            <w:tcW w:w="1552" w:type="dxa"/>
            <w:tcBorders>
              <w:top w:val="single" w:color="auto" w:sz="4" w:space="0"/>
              <w:left w:val="single" w:color="auto" w:sz="4" w:space="0"/>
              <w:bottom w:val="single" w:color="auto" w:sz="4" w:space="0"/>
              <w:right w:val="single" w:color="auto" w:sz="4" w:space="0"/>
            </w:tcBorders>
          </w:tcPr>
          <w:p>
            <w:pPr>
              <w:widowControl/>
              <w:jc w:val="left"/>
              <w:rPr>
                <w:rFonts w:hint="eastAsia" w:ascii="黑体" w:hAnsi="黑体" w:eastAsia="黑体" w:cs="黑体"/>
                <w:kern w:val="0"/>
                <w:sz w:val="20"/>
                <w:szCs w:val="20"/>
              </w:rPr>
            </w:pPr>
          </w:p>
        </w:tc>
        <w:tc>
          <w:tcPr>
            <w:tcW w:w="1380" w:type="dxa"/>
            <w:tcBorders>
              <w:top w:val="single" w:color="auto" w:sz="4" w:space="0"/>
              <w:left w:val="single" w:color="auto" w:sz="4" w:space="0"/>
              <w:bottom w:val="single" w:color="auto" w:sz="4" w:space="0"/>
              <w:right w:val="single" w:color="auto" w:sz="4" w:space="0"/>
            </w:tcBorders>
          </w:tcPr>
          <w:p>
            <w:pPr>
              <w:widowControl/>
              <w:jc w:val="left"/>
              <w:rPr>
                <w:rFonts w:hint="eastAsia" w:ascii="黑体" w:hAnsi="黑体" w:eastAsia="黑体" w:cs="黑体"/>
                <w:kern w:val="0"/>
                <w:sz w:val="20"/>
                <w:szCs w:val="20"/>
              </w:rPr>
            </w:pPr>
          </w:p>
        </w:tc>
      </w:tr>
      <w:tr>
        <w:tblPrEx>
          <w:tblLayout w:type="fixed"/>
          <w:tblCellMar>
            <w:top w:w="0" w:type="dxa"/>
            <w:left w:w="108" w:type="dxa"/>
            <w:bottom w:w="0" w:type="dxa"/>
            <w:right w:w="108" w:type="dxa"/>
          </w:tblCellMar>
        </w:tblPrEx>
        <w:trPr>
          <w:trHeight w:val="290" w:hRule="atLeast"/>
        </w:trPr>
        <w:tc>
          <w:tcPr>
            <w:tcW w:w="96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0"/>
                <w:szCs w:val="20"/>
              </w:rPr>
            </w:pPr>
            <w:r>
              <w:rPr>
                <w:rFonts w:hint="eastAsia" w:ascii="黑体" w:hAnsi="黑体" w:eastAsia="黑体" w:cs="黑体"/>
                <w:color w:val="000000"/>
                <w:kern w:val="0"/>
                <w:sz w:val="20"/>
                <w:szCs w:val="20"/>
              </w:rPr>
              <w:t>13</w:t>
            </w:r>
          </w:p>
        </w:tc>
        <w:tc>
          <w:tcPr>
            <w:tcW w:w="2688"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left"/>
              <w:rPr>
                <w:rFonts w:hint="eastAsia" w:ascii="黑体" w:hAnsi="黑体" w:eastAsia="黑体" w:cs="黑体"/>
                <w:color w:val="000000"/>
                <w:kern w:val="0"/>
                <w:sz w:val="20"/>
                <w:szCs w:val="20"/>
              </w:rPr>
            </w:pPr>
            <w:r>
              <w:rPr>
                <w:rFonts w:hint="eastAsia" w:ascii="黑体" w:hAnsi="黑体" w:eastAsia="黑体" w:cs="黑体"/>
                <w:color w:val="000000"/>
                <w:kern w:val="0"/>
                <w:sz w:val="20"/>
                <w:szCs w:val="20"/>
              </w:rPr>
              <w:t>调研技术服务</w:t>
            </w:r>
          </w:p>
        </w:tc>
        <w:tc>
          <w:tcPr>
            <w:tcW w:w="1137" w:type="dxa"/>
            <w:tcBorders>
              <w:top w:val="single" w:color="auto" w:sz="4" w:space="0"/>
              <w:left w:val="single" w:color="auto" w:sz="4" w:space="0"/>
              <w:bottom w:val="single" w:color="auto" w:sz="4" w:space="0"/>
              <w:right w:val="single" w:color="auto" w:sz="4" w:space="0"/>
            </w:tcBorders>
            <w:vAlign w:val="center"/>
          </w:tcPr>
          <w:p>
            <w:pPr>
              <w:widowControl/>
              <w:jc w:val="right"/>
              <w:rPr>
                <w:rFonts w:hint="eastAsia" w:ascii="黑体" w:hAnsi="黑体" w:eastAsia="黑体" w:cs="黑体"/>
                <w:kern w:val="0"/>
                <w:sz w:val="20"/>
                <w:szCs w:val="20"/>
              </w:rPr>
            </w:pPr>
            <w:r>
              <w:rPr>
                <w:rFonts w:hint="eastAsia" w:ascii="黑体" w:hAnsi="黑体" w:eastAsia="黑体" w:cs="黑体"/>
                <w:kern w:val="0"/>
                <w:sz w:val="20"/>
                <w:szCs w:val="20"/>
              </w:rPr>
              <w:t>1</w:t>
            </w:r>
          </w:p>
        </w:tc>
        <w:tc>
          <w:tcPr>
            <w:tcW w:w="1453"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黑体" w:hAnsi="黑体" w:eastAsia="黑体" w:cs="黑体"/>
                <w:kern w:val="0"/>
                <w:sz w:val="20"/>
                <w:szCs w:val="20"/>
              </w:rPr>
            </w:pPr>
            <w:r>
              <w:rPr>
                <w:rFonts w:hint="eastAsia" w:ascii="黑体" w:hAnsi="黑体" w:eastAsia="黑体" w:cs="黑体"/>
                <w:kern w:val="0"/>
                <w:sz w:val="20"/>
                <w:szCs w:val="20"/>
              </w:rPr>
              <w:t>项</w:t>
            </w:r>
          </w:p>
        </w:tc>
        <w:tc>
          <w:tcPr>
            <w:tcW w:w="1552"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黑体" w:hAnsi="黑体" w:eastAsia="黑体" w:cs="黑体"/>
                <w:kern w:val="0"/>
                <w:sz w:val="20"/>
                <w:szCs w:val="20"/>
              </w:rPr>
            </w:pPr>
          </w:p>
        </w:tc>
        <w:tc>
          <w:tcPr>
            <w:tcW w:w="138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黑体" w:hAnsi="黑体" w:eastAsia="黑体" w:cs="黑体"/>
                <w:kern w:val="0"/>
                <w:sz w:val="20"/>
                <w:szCs w:val="20"/>
              </w:rPr>
            </w:pPr>
          </w:p>
        </w:tc>
      </w:tr>
      <w:tr>
        <w:tblPrEx>
          <w:tblLayout w:type="fixed"/>
          <w:tblCellMar>
            <w:top w:w="0" w:type="dxa"/>
            <w:left w:w="108" w:type="dxa"/>
            <w:bottom w:w="0" w:type="dxa"/>
            <w:right w:w="108" w:type="dxa"/>
          </w:tblCellMar>
        </w:tblPrEx>
        <w:trPr>
          <w:trHeight w:val="648" w:hRule="atLeast"/>
        </w:trPr>
        <w:tc>
          <w:tcPr>
            <w:tcW w:w="96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0"/>
                <w:szCs w:val="20"/>
              </w:rPr>
            </w:pPr>
            <w:r>
              <w:rPr>
                <w:rFonts w:hint="eastAsia" w:ascii="黑体" w:hAnsi="黑体" w:eastAsia="黑体" w:cs="黑体"/>
                <w:color w:val="000000"/>
                <w:kern w:val="0"/>
                <w:sz w:val="20"/>
                <w:szCs w:val="20"/>
              </w:rPr>
              <w:t>14</w:t>
            </w:r>
          </w:p>
        </w:tc>
        <w:tc>
          <w:tcPr>
            <w:tcW w:w="2688"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rPr>
                <w:rFonts w:hint="eastAsia" w:ascii="黑体" w:hAnsi="黑体" w:eastAsia="黑体" w:cs="黑体"/>
                <w:color w:val="000000"/>
                <w:kern w:val="0"/>
                <w:sz w:val="20"/>
                <w:szCs w:val="20"/>
              </w:rPr>
            </w:pPr>
            <w:r>
              <w:rPr>
                <w:rFonts w:hint="eastAsia" w:ascii="黑体" w:hAnsi="黑体" w:eastAsia="黑体" w:cs="黑体"/>
                <w:color w:val="000000"/>
                <w:kern w:val="0"/>
                <w:sz w:val="20"/>
                <w:szCs w:val="20"/>
              </w:rPr>
              <w:t>安调及运维技术服务</w:t>
            </w:r>
          </w:p>
        </w:tc>
        <w:tc>
          <w:tcPr>
            <w:tcW w:w="1137" w:type="dxa"/>
            <w:tcBorders>
              <w:top w:val="single" w:color="auto" w:sz="4" w:space="0"/>
              <w:left w:val="single" w:color="auto" w:sz="4" w:space="0"/>
              <w:bottom w:val="single" w:color="auto" w:sz="4" w:space="0"/>
              <w:right w:val="single" w:color="auto" w:sz="4" w:space="0"/>
            </w:tcBorders>
            <w:vAlign w:val="center"/>
          </w:tcPr>
          <w:p>
            <w:pPr>
              <w:widowControl/>
              <w:jc w:val="right"/>
              <w:rPr>
                <w:rFonts w:hint="eastAsia" w:ascii="黑体" w:hAnsi="黑体" w:eastAsia="黑体" w:cs="黑体"/>
                <w:kern w:val="0"/>
                <w:sz w:val="20"/>
                <w:szCs w:val="20"/>
              </w:rPr>
            </w:pPr>
            <w:r>
              <w:rPr>
                <w:rFonts w:hint="eastAsia" w:ascii="黑体" w:hAnsi="黑体" w:eastAsia="黑体" w:cs="黑体"/>
                <w:kern w:val="0"/>
                <w:sz w:val="20"/>
                <w:szCs w:val="20"/>
              </w:rPr>
              <w:t>1</w:t>
            </w:r>
          </w:p>
        </w:tc>
        <w:tc>
          <w:tcPr>
            <w:tcW w:w="1453"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黑体" w:hAnsi="黑体" w:eastAsia="黑体" w:cs="黑体"/>
                <w:kern w:val="0"/>
                <w:sz w:val="20"/>
                <w:szCs w:val="20"/>
              </w:rPr>
            </w:pPr>
            <w:r>
              <w:rPr>
                <w:rFonts w:hint="eastAsia" w:ascii="黑体" w:hAnsi="黑体" w:eastAsia="黑体" w:cs="黑体"/>
                <w:kern w:val="0"/>
                <w:sz w:val="20"/>
                <w:szCs w:val="20"/>
              </w:rPr>
              <w:t>项</w:t>
            </w:r>
          </w:p>
        </w:tc>
        <w:tc>
          <w:tcPr>
            <w:tcW w:w="1552"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黑体" w:hAnsi="黑体" w:eastAsia="黑体" w:cs="黑体"/>
                <w:kern w:val="0"/>
                <w:sz w:val="20"/>
                <w:szCs w:val="20"/>
              </w:rPr>
            </w:pPr>
          </w:p>
        </w:tc>
        <w:tc>
          <w:tcPr>
            <w:tcW w:w="138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黑体" w:hAnsi="黑体" w:eastAsia="黑体" w:cs="黑体"/>
                <w:kern w:val="0"/>
                <w:sz w:val="20"/>
                <w:szCs w:val="20"/>
              </w:rPr>
            </w:pPr>
          </w:p>
        </w:tc>
      </w:tr>
      <w:tr>
        <w:tblPrEx>
          <w:tblLayout w:type="fixed"/>
          <w:tblCellMar>
            <w:top w:w="0" w:type="dxa"/>
            <w:left w:w="108" w:type="dxa"/>
            <w:bottom w:w="0" w:type="dxa"/>
            <w:right w:w="108" w:type="dxa"/>
          </w:tblCellMar>
        </w:tblPrEx>
        <w:trPr>
          <w:trHeight w:val="648" w:hRule="atLeast"/>
        </w:trPr>
        <w:tc>
          <w:tcPr>
            <w:tcW w:w="96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0"/>
                <w:szCs w:val="20"/>
              </w:rPr>
            </w:pPr>
            <w:r>
              <w:rPr>
                <w:rFonts w:hint="eastAsia" w:ascii="黑体" w:hAnsi="黑体" w:eastAsia="黑体" w:cs="黑体"/>
                <w:color w:val="000000"/>
                <w:kern w:val="0"/>
                <w:sz w:val="20"/>
                <w:szCs w:val="20"/>
              </w:rPr>
              <w:t>15</w:t>
            </w:r>
          </w:p>
        </w:tc>
        <w:tc>
          <w:tcPr>
            <w:tcW w:w="2688"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rPr>
                <w:rFonts w:hint="eastAsia" w:ascii="黑体" w:hAnsi="黑体" w:eastAsia="黑体" w:cs="黑体"/>
                <w:color w:val="000000"/>
                <w:kern w:val="0"/>
                <w:sz w:val="20"/>
                <w:szCs w:val="20"/>
              </w:rPr>
            </w:pPr>
            <w:r>
              <w:rPr>
                <w:rFonts w:hint="eastAsia" w:ascii="黑体" w:hAnsi="黑体" w:eastAsia="黑体" w:cs="黑体"/>
                <w:color w:val="000000"/>
                <w:kern w:val="0"/>
                <w:sz w:val="20"/>
                <w:szCs w:val="20"/>
              </w:rPr>
              <w:t>合计（含税）</w:t>
            </w:r>
          </w:p>
        </w:tc>
        <w:tc>
          <w:tcPr>
            <w:tcW w:w="5522" w:type="dxa"/>
            <w:gridSpan w:val="4"/>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黑体" w:hAnsi="黑体" w:eastAsia="黑体" w:cs="黑体"/>
                <w:kern w:val="0"/>
                <w:sz w:val="20"/>
                <w:szCs w:val="20"/>
              </w:rPr>
            </w:pPr>
            <w:r>
              <w:rPr>
                <w:rFonts w:hint="eastAsia" w:ascii="黑体" w:hAnsi="黑体" w:eastAsia="黑体" w:cs="黑体"/>
                <w:kern w:val="0"/>
                <w:sz w:val="20"/>
                <w:szCs w:val="20"/>
              </w:rPr>
              <w:t>总价（大写）</w:t>
            </w:r>
            <w:r>
              <w:rPr>
                <w:rFonts w:hint="eastAsia" w:ascii="黑体" w:hAnsi="黑体" w:eastAsia="黑体" w:cs="黑体"/>
                <w:kern w:val="0"/>
                <w:sz w:val="20"/>
                <w:szCs w:val="20"/>
                <w:u w:val="single"/>
              </w:rPr>
              <w:t xml:space="preserve">        </w:t>
            </w:r>
            <w:r>
              <w:rPr>
                <w:rFonts w:hint="eastAsia" w:ascii="黑体" w:hAnsi="黑体" w:eastAsia="黑体" w:cs="黑体"/>
                <w:kern w:val="0"/>
                <w:sz w:val="20"/>
                <w:szCs w:val="20"/>
              </w:rPr>
              <w:t>元（小写）</w:t>
            </w:r>
            <w:r>
              <w:rPr>
                <w:rFonts w:hint="eastAsia" w:ascii="黑体" w:hAnsi="黑体" w:eastAsia="黑体" w:cs="黑体"/>
                <w:kern w:val="0"/>
                <w:sz w:val="20"/>
                <w:szCs w:val="20"/>
                <w:u w:val="single"/>
              </w:rPr>
              <w:t xml:space="preserve">       </w:t>
            </w:r>
            <w:r>
              <w:rPr>
                <w:rFonts w:hint="eastAsia" w:ascii="黑体" w:hAnsi="黑体" w:eastAsia="黑体" w:cs="黑体"/>
                <w:kern w:val="0"/>
                <w:sz w:val="20"/>
                <w:szCs w:val="20"/>
              </w:rPr>
              <w:t>元。</w:t>
            </w:r>
          </w:p>
        </w:tc>
      </w:tr>
      <w:tr>
        <w:tblPrEx>
          <w:tblLayout w:type="fixed"/>
          <w:tblCellMar>
            <w:top w:w="0" w:type="dxa"/>
            <w:left w:w="108" w:type="dxa"/>
            <w:bottom w:w="0" w:type="dxa"/>
            <w:right w:w="108" w:type="dxa"/>
          </w:tblCellMar>
        </w:tblPrEx>
        <w:trPr>
          <w:trHeight w:val="648" w:hRule="atLeast"/>
        </w:trPr>
        <w:tc>
          <w:tcPr>
            <w:tcW w:w="96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0"/>
                <w:szCs w:val="20"/>
              </w:rPr>
            </w:pPr>
            <w:r>
              <w:rPr>
                <w:rFonts w:hint="eastAsia" w:ascii="黑体" w:hAnsi="黑体" w:eastAsia="黑体" w:cs="黑体"/>
                <w:color w:val="000000"/>
                <w:kern w:val="0"/>
                <w:sz w:val="20"/>
                <w:szCs w:val="20"/>
              </w:rPr>
              <w:t>15.1</w:t>
            </w:r>
          </w:p>
        </w:tc>
        <w:tc>
          <w:tcPr>
            <w:tcW w:w="8210" w:type="dxa"/>
            <w:gridSpan w:val="5"/>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rPr>
                <w:rFonts w:hint="eastAsia" w:ascii="黑体" w:hAnsi="黑体" w:eastAsia="黑体" w:cs="黑体"/>
                <w:kern w:val="0"/>
                <w:sz w:val="20"/>
                <w:szCs w:val="20"/>
              </w:rPr>
            </w:pPr>
            <w:r>
              <w:rPr>
                <w:rFonts w:hint="eastAsia" w:ascii="黑体" w:hAnsi="黑体" w:eastAsia="黑体" w:cs="黑体"/>
                <w:kern w:val="0"/>
                <w:sz w:val="20"/>
                <w:szCs w:val="20"/>
              </w:rPr>
              <w:t>其中不含税总价（大写）</w:t>
            </w:r>
            <w:r>
              <w:rPr>
                <w:rFonts w:hint="eastAsia" w:ascii="黑体" w:hAnsi="黑体" w:eastAsia="黑体" w:cs="黑体"/>
                <w:kern w:val="0"/>
                <w:sz w:val="20"/>
                <w:szCs w:val="20"/>
                <w:u w:val="single"/>
              </w:rPr>
              <w:t xml:space="preserve">        </w:t>
            </w:r>
            <w:r>
              <w:rPr>
                <w:rFonts w:hint="eastAsia" w:ascii="黑体" w:hAnsi="黑体" w:eastAsia="黑体" w:cs="黑体"/>
                <w:kern w:val="0"/>
                <w:sz w:val="20"/>
                <w:szCs w:val="20"/>
              </w:rPr>
              <w:t>元（小写）</w:t>
            </w:r>
            <w:r>
              <w:rPr>
                <w:rFonts w:hint="eastAsia" w:ascii="黑体" w:hAnsi="黑体" w:eastAsia="黑体" w:cs="黑体"/>
                <w:kern w:val="0"/>
                <w:sz w:val="20"/>
                <w:szCs w:val="20"/>
                <w:u w:val="single"/>
              </w:rPr>
              <w:t xml:space="preserve">       </w:t>
            </w:r>
            <w:r>
              <w:rPr>
                <w:rFonts w:hint="eastAsia" w:ascii="黑体" w:hAnsi="黑体" w:eastAsia="黑体" w:cs="黑体"/>
                <w:kern w:val="0"/>
                <w:sz w:val="20"/>
                <w:szCs w:val="20"/>
              </w:rPr>
              <w:t>元。</w:t>
            </w:r>
          </w:p>
        </w:tc>
      </w:tr>
      <w:tr>
        <w:tblPrEx>
          <w:tblLayout w:type="fixed"/>
          <w:tblCellMar>
            <w:top w:w="0" w:type="dxa"/>
            <w:left w:w="108" w:type="dxa"/>
            <w:bottom w:w="0" w:type="dxa"/>
            <w:right w:w="108" w:type="dxa"/>
          </w:tblCellMar>
        </w:tblPrEx>
        <w:trPr>
          <w:trHeight w:val="648" w:hRule="atLeast"/>
        </w:trPr>
        <w:tc>
          <w:tcPr>
            <w:tcW w:w="96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0"/>
                <w:szCs w:val="20"/>
              </w:rPr>
            </w:pPr>
            <w:r>
              <w:rPr>
                <w:rFonts w:hint="eastAsia" w:ascii="黑体" w:hAnsi="黑体" w:eastAsia="黑体" w:cs="黑体"/>
                <w:color w:val="000000"/>
                <w:kern w:val="0"/>
                <w:sz w:val="20"/>
                <w:szCs w:val="20"/>
              </w:rPr>
              <w:t>15.2</w:t>
            </w:r>
          </w:p>
        </w:tc>
        <w:tc>
          <w:tcPr>
            <w:tcW w:w="8210" w:type="dxa"/>
            <w:gridSpan w:val="5"/>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rPr>
                <w:rFonts w:hint="eastAsia" w:ascii="黑体" w:hAnsi="黑体" w:eastAsia="黑体" w:cs="黑体"/>
                <w:kern w:val="0"/>
                <w:sz w:val="20"/>
                <w:szCs w:val="20"/>
              </w:rPr>
            </w:pPr>
            <w:r>
              <w:rPr>
                <w:rFonts w:hint="eastAsia" w:ascii="黑体" w:hAnsi="黑体" w:eastAsia="黑体" w:cs="黑体"/>
                <w:sz w:val="20"/>
                <w:szCs w:val="20"/>
              </w:rPr>
              <w:t>其中税额</w:t>
            </w:r>
            <w:r>
              <w:rPr>
                <w:rFonts w:hint="eastAsia" w:ascii="黑体" w:hAnsi="黑体" w:eastAsia="黑体" w:cs="黑体"/>
                <w:kern w:val="0"/>
                <w:sz w:val="20"/>
                <w:szCs w:val="20"/>
              </w:rPr>
              <w:t>（大写）</w:t>
            </w:r>
            <w:r>
              <w:rPr>
                <w:rFonts w:hint="eastAsia" w:ascii="黑体" w:hAnsi="黑体" w:eastAsia="黑体" w:cs="黑体"/>
                <w:kern w:val="0"/>
                <w:sz w:val="20"/>
                <w:szCs w:val="20"/>
                <w:u w:val="single"/>
              </w:rPr>
              <w:t xml:space="preserve">        </w:t>
            </w:r>
            <w:r>
              <w:rPr>
                <w:rFonts w:hint="eastAsia" w:ascii="黑体" w:hAnsi="黑体" w:eastAsia="黑体" w:cs="黑体"/>
                <w:kern w:val="0"/>
                <w:sz w:val="20"/>
                <w:szCs w:val="20"/>
              </w:rPr>
              <w:t>元（小写）</w:t>
            </w:r>
            <w:r>
              <w:rPr>
                <w:rFonts w:hint="eastAsia" w:ascii="黑体" w:hAnsi="黑体" w:eastAsia="黑体" w:cs="黑体"/>
                <w:kern w:val="0"/>
                <w:sz w:val="20"/>
                <w:szCs w:val="20"/>
                <w:u w:val="single"/>
              </w:rPr>
              <w:t xml:space="preserve">       </w:t>
            </w:r>
            <w:r>
              <w:rPr>
                <w:rFonts w:hint="eastAsia" w:ascii="黑体" w:hAnsi="黑体" w:eastAsia="黑体" w:cs="黑体"/>
                <w:kern w:val="0"/>
                <w:sz w:val="20"/>
                <w:szCs w:val="20"/>
              </w:rPr>
              <w:t>元，税率</w:t>
            </w:r>
            <w:r>
              <w:rPr>
                <w:rFonts w:hint="eastAsia" w:ascii="黑体" w:hAnsi="黑体" w:eastAsia="黑体" w:cs="黑体"/>
                <w:kern w:val="0"/>
                <w:sz w:val="20"/>
                <w:szCs w:val="20"/>
                <w:u w:val="single"/>
              </w:rPr>
              <w:t xml:space="preserve">      % </w:t>
            </w:r>
            <w:r>
              <w:rPr>
                <w:rFonts w:hint="eastAsia" w:ascii="黑体" w:hAnsi="黑体" w:eastAsia="黑体" w:cs="黑体"/>
                <w:kern w:val="0"/>
                <w:sz w:val="20"/>
                <w:szCs w:val="20"/>
              </w:rPr>
              <w:t>。</w:t>
            </w:r>
          </w:p>
        </w:tc>
      </w:tr>
      <w:tr>
        <w:tblPrEx>
          <w:tblLayout w:type="fixed"/>
          <w:tblCellMar>
            <w:top w:w="0" w:type="dxa"/>
            <w:left w:w="108" w:type="dxa"/>
            <w:bottom w:w="0" w:type="dxa"/>
            <w:right w:w="108" w:type="dxa"/>
          </w:tblCellMar>
        </w:tblPrEx>
        <w:trPr>
          <w:trHeight w:val="648" w:hRule="atLeast"/>
        </w:trPr>
        <w:tc>
          <w:tcPr>
            <w:tcW w:w="9174" w:type="dxa"/>
            <w:gridSpan w:val="6"/>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rPr>
                <w:rFonts w:ascii="Times New Roman" w:hAnsi="Times New Roman" w:eastAsia="Times New Roman" w:cs="Times New Roman"/>
                <w:kern w:val="0"/>
                <w:sz w:val="20"/>
                <w:szCs w:val="20"/>
              </w:rPr>
            </w:pPr>
            <w:r>
              <w:rPr>
                <w:rFonts w:hint="eastAsia" w:ascii="宋体" w:hAnsi="宋体" w:eastAsia="宋体" w:cs="宋体"/>
                <w:szCs w:val="21"/>
              </w:rPr>
              <w:t>注：1.采购项目所需费用包含且不限于以下的费用：开发费、培训费、设备费、管理费、差旅费、期间交通食宿费、规费、利润、税费以及为完成软件实施部署上线的所有相关费用均已考虑在各分项单价内，本项目结束后，采购人不再支付任何费用。2.本项目要求开具增值税专用发票。</w:t>
            </w:r>
          </w:p>
        </w:tc>
      </w:tr>
    </w:tbl>
    <w:p>
      <w:pPr>
        <w:spacing w:line="360" w:lineRule="auto"/>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2.合同合计金额包括硬件、</w:t>
      </w:r>
      <w:r>
        <w:rPr>
          <w:rFonts w:hint="eastAsia" w:ascii="仿宋_GB2312" w:hAnsi="仿宋_GB2312" w:eastAsia="仿宋_GB2312" w:cs="仿宋_GB2312"/>
          <w:color w:val="000000"/>
          <w:sz w:val="28"/>
          <w:szCs w:val="28"/>
        </w:rPr>
        <w:t>软件及其相关服务、</w:t>
      </w:r>
      <w:r>
        <w:rPr>
          <w:rFonts w:hint="eastAsia" w:ascii="仿宋_GB2312" w:hAnsi="仿宋_GB2312" w:eastAsia="仿宋_GB2312" w:cs="仿宋_GB2312"/>
          <w:sz w:val="28"/>
          <w:szCs w:val="28"/>
        </w:rPr>
        <w:t>技术资料和包装、运输等全部费用。如采购文件及报价文件对其另有约定的，从其约定。</w:t>
      </w:r>
    </w:p>
    <w:p>
      <w:pPr>
        <w:snapToGrid w:val="0"/>
        <w:spacing w:line="360" w:lineRule="auto"/>
        <w:ind w:firstLine="562" w:firstLineChars="200"/>
        <w:outlineLvl w:val="0"/>
        <w:rPr>
          <w:rFonts w:hint="eastAsia" w:ascii="仿宋_GB2312" w:hAnsi="仿宋_GB2312" w:eastAsia="仿宋_GB2312" w:cs="仿宋_GB2312"/>
          <w:sz w:val="28"/>
          <w:szCs w:val="28"/>
        </w:rPr>
      </w:pPr>
      <w:r>
        <w:rPr>
          <w:rFonts w:hint="eastAsia" w:ascii="仿宋_GB2312" w:hAnsi="仿宋_GB2312" w:eastAsia="仿宋_GB2312" w:cs="仿宋_GB2312"/>
          <w:b/>
          <w:sz w:val="28"/>
          <w:szCs w:val="28"/>
        </w:rPr>
        <w:t>第二条　质量保证</w:t>
      </w:r>
    </w:p>
    <w:p>
      <w:pPr>
        <w:snapToGrid w:val="0"/>
        <w:spacing w:line="360" w:lineRule="auto"/>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1.乙方所提供的产品型号、技术规格、技术参数等质量必须与采购文件和承诺相一致。</w:t>
      </w:r>
    </w:p>
    <w:p>
      <w:pPr>
        <w:snapToGrid w:val="0"/>
        <w:spacing w:line="360" w:lineRule="auto"/>
        <w:ind w:firstLine="560" w:firstLineChars="200"/>
        <w:rPr>
          <w:rFonts w:hint="eastAsia" w:ascii="仿宋_GB2312" w:hAnsi="仿宋_GB2312" w:eastAsia="仿宋_GB2312" w:cs="仿宋_GB2312"/>
          <w:sz w:val="28"/>
          <w:szCs w:val="28"/>
          <w:u w:val="single"/>
        </w:rPr>
      </w:pPr>
      <w:r>
        <w:rPr>
          <w:rFonts w:hint="eastAsia" w:ascii="仿宋_GB2312" w:hAnsi="仿宋_GB2312" w:eastAsia="仿宋_GB2312" w:cs="仿宋_GB2312"/>
          <w:sz w:val="28"/>
          <w:szCs w:val="28"/>
        </w:rPr>
        <w:t>2.乙方所提供的产品必须是全新、未使用的原装产品，且在正常安装、使用和保养条件下，其使用寿命期内各项指标均达到质量要求。</w:t>
      </w:r>
    </w:p>
    <w:p>
      <w:pPr>
        <w:snapToGrid w:val="0"/>
        <w:spacing w:line="420" w:lineRule="exact"/>
        <w:ind w:firstLine="562" w:firstLineChars="200"/>
        <w:outlineLvl w:val="0"/>
        <w:rPr>
          <w:rFonts w:hint="eastAsia" w:ascii="仿宋_GB2312" w:hAnsi="仿宋_GB2312" w:eastAsia="仿宋_GB2312" w:cs="仿宋_GB2312"/>
          <w:sz w:val="28"/>
          <w:szCs w:val="28"/>
        </w:rPr>
      </w:pPr>
      <w:r>
        <w:rPr>
          <w:rFonts w:hint="eastAsia" w:ascii="仿宋_GB2312" w:hAnsi="仿宋_GB2312" w:eastAsia="仿宋_GB2312" w:cs="仿宋_GB2312"/>
          <w:b/>
          <w:sz w:val="28"/>
          <w:szCs w:val="28"/>
        </w:rPr>
        <w:t>第三条　权力保证</w:t>
      </w:r>
    </w:p>
    <w:p>
      <w:pPr>
        <w:snapToGrid w:val="0"/>
        <w:spacing w:line="42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1.乙方应保证所提供产品在使用时不会侵犯任何第三方的专利权、商标权、工业设计权或其他权利。</w:t>
      </w:r>
    </w:p>
    <w:p>
      <w:pPr>
        <w:snapToGrid w:val="0"/>
        <w:spacing w:line="42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2.乙方应按采购文件规定的时间向甲方提供使用产品的有关技术资料。</w:t>
      </w:r>
    </w:p>
    <w:p>
      <w:pPr>
        <w:snapToGrid w:val="0"/>
        <w:spacing w:line="42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3.乙方保证所交付的产品所有权完全属于乙方且无任何抵押、质押、查封等产权瑕疵。</w:t>
      </w:r>
    </w:p>
    <w:p>
      <w:pPr>
        <w:snapToGrid w:val="0"/>
        <w:spacing w:line="42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4.甲乙双方一致同意在甲方付清全部货款前，本合同所有产品的所有权归乙方所有。</w:t>
      </w:r>
    </w:p>
    <w:p>
      <w:pPr>
        <w:snapToGrid w:val="0"/>
        <w:spacing w:line="420" w:lineRule="exact"/>
        <w:ind w:firstLine="562" w:firstLineChars="200"/>
        <w:outlineLvl w:val="0"/>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第四条　包装和运输</w:t>
      </w:r>
    </w:p>
    <w:p>
      <w:pPr>
        <w:snapToGrid w:val="0"/>
        <w:spacing w:line="42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1.乙方提供的产品均应按采购文件要求的包装材料、包装标准、包装方式进行包装，每一包装单元内应附详细的装箱单和质量合格证。</w:t>
      </w:r>
    </w:p>
    <w:p>
      <w:pPr>
        <w:snapToGrid w:val="0"/>
        <w:spacing w:line="420" w:lineRule="exact"/>
        <w:ind w:firstLine="560" w:firstLineChars="200"/>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2.产品的运输方式：</w:t>
      </w:r>
      <w:r>
        <w:rPr>
          <w:rFonts w:hint="eastAsia" w:ascii="仿宋_GB2312" w:hAnsi="仿宋_GB2312" w:eastAsia="仿宋_GB2312" w:cs="仿宋_GB2312"/>
          <w:color w:val="000000"/>
          <w:sz w:val="28"/>
          <w:szCs w:val="28"/>
          <w:u w:val="single"/>
        </w:rPr>
        <w:t xml:space="preserve">乙方送货到甲方指定地点。  </w:t>
      </w:r>
      <w:r>
        <w:rPr>
          <w:rFonts w:hint="eastAsia" w:ascii="仿宋_GB2312" w:hAnsi="仿宋_GB2312" w:eastAsia="仿宋_GB2312" w:cs="仿宋_GB2312"/>
          <w:color w:val="000000"/>
          <w:sz w:val="28"/>
          <w:szCs w:val="28"/>
        </w:rPr>
        <w:t xml:space="preserve">                        </w:t>
      </w:r>
      <w:r>
        <w:rPr>
          <w:rFonts w:hint="eastAsia" w:ascii="仿宋_GB2312" w:hAnsi="仿宋_GB2312" w:eastAsia="仿宋_GB2312" w:cs="仿宋_GB2312"/>
          <w:color w:val="000000"/>
          <w:sz w:val="28"/>
          <w:szCs w:val="28"/>
          <w:u w:val="single"/>
        </w:rPr>
        <w:t xml:space="preserve">              </w:t>
      </w:r>
    </w:p>
    <w:p>
      <w:pPr>
        <w:snapToGrid w:val="0"/>
        <w:spacing w:line="420" w:lineRule="exact"/>
        <w:ind w:firstLine="560" w:firstLineChars="200"/>
        <w:rPr>
          <w:rFonts w:hint="eastAsia" w:ascii="仿宋_GB2312" w:hAnsi="仿宋_GB2312" w:eastAsia="仿宋_GB2312" w:cs="仿宋_GB2312"/>
          <w:color w:val="000000"/>
          <w:sz w:val="28"/>
          <w:szCs w:val="28"/>
          <w:u w:val="single"/>
        </w:rPr>
      </w:pPr>
      <w:r>
        <w:rPr>
          <w:rFonts w:hint="eastAsia" w:ascii="仿宋_GB2312" w:hAnsi="仿宋_GB2312" w:eastAsia="仿宋_GB2312" w:cs="仿宋_GB2312"/>
          <w:color w:val="000000"/>
          <w:sz w:val="28"/>
          <w:szCs w:val="28"/>
        </w:rPr>
        <w:t>3.乙方负责产品运输，产品运输合理损耗及计算方法：</w:t>
      </w:r>
      <w:r>
        <w:rPr>
          <w:rFonts w:hint="eastAsia" w:ascii="仿宋_GB2312" w:hAnsi="仿宋_GB2312" w:eastAsia="仿宋_GB2312" w:cs="仿宋_GB2312"/>
          <w:color w:val="000000"/>
          <w:sz w:val="28"/>
          <w:szCs w:val="28"/>
          <w:u w:val="single"/>
        </w:rPr>
        <w:t xml:space="preserve">  无   </w:t>
      </w:r>
      <w:r>
        <w:rPr>
          <w:rFonts w:hint="eastAsia" w:ascii="仿宋_GB2312" w:hAnsi="仿宋_GB2312" w:eastAsia="仿宋_GB2312" w:cs="仿宋_GB2312"/>
          <w:color w:val="000000"/>
          <w:sz w:val="28"/>
          <w:szCs w:val="28"/>
        </w:rPr>
        <w:t xml:space="preserve">         </w:t>
      </w:r>
    </w:p>
    <w:p>
      <w:pPr>
        <w:snapToGrid w:val="0"/>
        <w:spacing w:line="420" w:lineRule="exact"/>
        <w:ind w:firstLine="562" w:firstLineChars="200"/>
        <w:outlineLvl w:val="0"/>
        <w:rPr>
          <w:rFonts w:hint="eastAsia" w:ascii="仿宋_GB2312" w:hAnsi="仿宋_GB2312" w:eastAsia="仿宋_GB2312" w:cs="仿宋_GB2312"/>
          <w:sz w:val="28"/>
          <w:szCs w:val="28"/>
        </w:rPr>
      </w:pPr>
      <w:r>
        <w:rPr>
          <w:rFonts w:hint="eastAsia" w:ascii="仿宋_GB2312" w:hAnsi="仿宋_GB2312" w:eastAsia="仿宋_GB2312" w:cs="仿宋_GB2312"/>
          <w:b/>
          <w:sz w:val="28"/>
          <w:szCs w:val="28"/>
        </w:rPr>
        <w:t>第五条　交付和验收</w:t>
      </w:r>
    </w:p>
    <w:p>
      <w:pPr>
        <w:snapToGrid w:val="0"/>
        <w:spacing w:line="42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color w:val="000000"/>
          <w:sz w:val="28"/>
          <w:szCs w:val="28"/>
        </w:rPr>
        <w:t>1.交付时间：签订合同之日后</w:t>
      </w:r>
      <w:r>
        <w:rPr>
          <w:rFonts w:hint="eastAsia" w:ascii="仿宋_GB2312" w:hAnsi="仿宋_GB2312" w:eastAsia="仿宋_GB2312" w:cs="仿宋_GB2312"/>
          <w:color w:val="000000"/>
          <w:sz w:val="28"/>
          <w:szCs w:val="28"/>
          <w:u w:val="single"/>
        </w:rPr>
        <w:t xml:space="preserve">     </w:t>
      </w:r>
      <w:r>
        <w:rPr>
          <w:rFonts w:hint="eastAsia" w:ascii="仿宋_GB2312" w:hAnsi="仿宋_GB2312" w:eastAsia="仿宋_GB2312" w:cs="仿宋_GB2312"/>
          <w:color w:val="000000"/>
          <w:sz w:val="28"/>
          <w:szCs w:val="28"/>
        </w:rPr>
        <w:t xml:space="preserve"> 天内</w:t>
      </w:r>
      <w:r>
        <w:rPr>
          <w:rFonts w:hint="eastAsia" w:ascii="仿宋_GB2312" w:hAnsi="仿宋_GB2312" w:eastAsia="仿宋_GB2312" w:cs="仿宋_GB2312"/>
          <w:sz w:val="28"/>
          <w:szCs w:val="28"/>
        </w:rPr>
        <w:t>；交付地点：</w:t>
      </w:r>
      <w:r>
        <w:rPr>
          <w:rFonts w:hint="eastAsia" w:ascii="仿宋_GB2312" w:hAnsi="仿宋_GB2312" w:eastAsia="仿宋_GB2312" w:cs="仿宋_GB2312"/>
          <w:color w:val="000000"/>
          <w:sz w:val="28"/>
          <w:szCs w:val="28"/>
          <w:u w:val="single"/>
        </w:rPr>
        <w:t xml:space="preserve">  </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；收货人、身份证号及联系方式：</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。甲方变更前述信息的，应自变更前</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日内书面通知乙方，否则由甲方承担未及时通知的后果。</w:t>
      </w:r>
    </w:p>
    <w:p>
      <w:pPr>
        <w:snapToGrid w:val="0"/>
        <w:spacing w:line="42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2.乙方提供不符合采购文件和本合同规定的产品，甲方有权拒绝接受。产品在交付甲方前发生毁损灭失的风险均由乙方负责。</w:t>
      </w:r>
    </w:p>
    <w:p>
      <w:pPr>
        <w:snapToGrid w:val="0"/>
        <w:spacing w:line="42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3.乙方应将所提供产品的装箱清单、用户手册、原厂保修卡、随机资料、工具等交付给甲方，如有缺失应及时补齐，否则视为逾期交付</w:t>
      </w:r>
      <w:r>
        <w:rPr>
          <w:rFonts w:hint="eastAsia" w:ascii="仿宋_GB2312" w:hAnsi="仿宋_GB2312" w:eastAsia="仿宋_GB2312" w:cs="仿宋_GB2312"/>
          <w:color w:val="000000"/>
          <w:sz w:val="28"/>
          <w:szCs w:val="28"/>
        </w:rPr>
        <w:t>（软件无）。</w:t>
      </w:r>
    </w:p>
    <w:p>
      <w:pPr>
        <w:snapToGrid w:val="0"/>
        <w:spacing w:line="42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4.甲方应当在产品/系统安装、调试完后7个工作日内进行验收，逾期不验收的，乙方可视章，甲乙双方各执一份。</w:t>
      </w:r>
    </w:p>
    <w:p>
      <w:pPr>
        <w:snapToGrid w:val="0"/>
        <w:spacing w:line="42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5.甲方对验收有同验收合格。验收合格后</w:t>
      </w:r>
      <w:r>
        <w:rPr>
          <w:rFonts w:hint="eastAsia" w:ascii="仿宋_GB2312" w:hAnsi="仿宋_GB2312" w:eastAsia="仿宋_GB2312" w:cs="仿宋_GB2312"/>
          <w:sz w:val="28"/>
          <w:szCs w:val="28"/>
          <w:u w:val="single"/>
        </w:rPr>
        <w:t xml:space="preserve">  3  </w:t>
      </w:r>
      <w:r>
        <w:rPr>
          <w:rFonts w:hint="eastAsia" w:ascii="仿宋_GB2312" w:hAnsi="仿宋_GB2312" w:eastAsia="仿宋_GB2312" w:cs="仿宋_GB2312"/>
          <w:sz w:val="28"/>
          <w:szCs w:val="28"/>
        </w:rPr>
        <w:t>日内由甲乙双方签署产品验收单并加盖采购单位公异议的，应在验收期限内以书面形式向乙方提出，乙方收到甲方书面异议后确认属产品本身质量的，乙方应在</w:t>
      </w:r>
      <w:r>
        <w:rPr>
          <w:rFonts w:hint="eastAsia" w:ascii="仿宋_GB2312" w:hAnsi="仿宋_GB2312" w:eastAsia="仿宋_GB2312" w:cs="仿宋_GB2312"/>
          <w:color w:val="000000"/>
          <w:sz w:val="28"/>
          <w:szCs w:val="28"/>
          <w:u w:val="single"/>
        </w:rPr>
        <w:t>5个工作</w:t>
      </w:r>
      <w:r>
        <w:rPr>
          <w:rFonts w:hint="eastAsia" w:ascii="仿宋_GB2312" w:hAnsi="仿宋_GB2312" w:eastAsia="仿宋_GB2312" w:cs="仿宋_GB2312"/>
          <w:sz w:val="28"/>
          <w:szCs w:val="28"/>
        </w:rPr>
        <w:t>日内及时予以解决，情况特殊的，双方同意可延长解决时限。甲方逾期验收或未以书面形式提出异议，视为验收合格。</w:t>
      </w:r>
    </w:p>
    <w:p>
      <w:pPr>
        <w:snapToGrid w:val="0"/>
        <w:spacing w:line="420" w:lineRule="exact"/>
        <w:ind w:firstLine="562" w:firstLineChars="200"/>
        <w:outlineLvl w:val="0"/>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第六条　安装和培训</w:t>
      </w:r>
    </w:p>
    <w:p>
      <w:pPr>
        <w:snapToGrid w:val="0"/>
        <w:spacing w:line="42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1.甲方应提供必要安装条件（如场地、电源、水源等）。</w:t>
      </w:r>
    </w:p>
    <w:p>
      <w:pPr>
        <w:snapToGrid w:val="0"/>
        <w:spacing w:line="420" w:lineRule="exact"/>
        <w:ind w:firstLine="560" w:firstLineChars="200"/>
        <w:rPr>
          <w:rFonts w:hint="eastAsia" w:ascii="仿宋_GB2312" w:hAnsi="仿宋_GB2312" w:eastAsia="仿宋_GB2312" w:cs="仿宋_GB2312"/>
          <w:sz w:val="28"/>
          <w:szCs w:val="28"/>
          <w:u w:val="single"/>
        </w:rPr>
      </w:pPr>
      <w:r>
        <w:rPr>
          <w:rFonts w:hint="eastAsia" w:ascii="仿宋_GB2312" w:hAnsi="仿宋_GB2312" w:eastAsia="仿宋_GB2312" w:cs="仿宋_GB2312"/>
          <w:sz w:val="28"/>
          <w:szCs w:val="28"/>
        </w:rPr>
        <w:t>2.乙方负责甲方有关人员的培训。</w:t>
      </w:r>
      <w:r>
        <w:rPr>
          <w:rFonts w:hint="eastAsia" w:ascii="仿宋_GB2312" w:hAnsi="仿宋_GB2312" w:eastAsia="仿宋_GB2312" w:cs="仿宋_GB2312"/>
          <w:color w:val="000000"/>
          <w:sz w:val="28"/>
          <w:szCs w:val="28"/>
        </w:rPr>
        <w:t>培训时间</w:t>
      </w:r>
      <w:r>
        <w:rPr>
          <w:rFonts w:hint="eastAsia" w:ascii="仿宋_GB2312" w:hAnsi="仿宋_GB2312" w:eastAsia="仿宋_GB2312" w:cs="仿宋_GB2312"/>
          <w:sz w:val="28"/>
          <w:szCs w:val="28"/>
        </w:rPr>
        <w:t>、地点：</w:t>
      </w:r>
      <w:r>
        <w:rPr>
          <w:rFonts w:hint="eastAsia" w:ascii="仿宋_GB2312" w:hAnsi="仿宋_GB2312" w:eastAsia="仿宋_GB2312" w:cs="仿宋_GB2312"/>
          <w:sz w:val="28"/>
          <w:szCs w:val="28"/>
          <w:u w:val="single"/>
        </w:rPr>
        <w:t xml:space="preserve">甲方指定 。  </w:t>
      </w:r>
      <w:r>
        <w:rPr>
          <w:rFonts w:hint="eastAsia" w:ascii="仿宋_GB2312" w:hAnsi="仿宋_GB2312" w:eastAsia="仿宋_GB2312" w:cs="仿宋_GB2312"/>
          <w:color w:val="FF0000"/>
          <w:sz w:val="28"/>
          <w:szCs w:val="28"/>
        </w:rPr>
        <w:t xml:space="preserve">                    </w:t>
      </w:r>
    </w:p>
    <w:p>
      <w:pPr>
        <w:snapToGrid w:val="0"/>
        <w:spacing w:line="420" w:lineRule="exact"/>
        <w:ind w:firstLine="562" w:firstLineChars="200"/>
        <w:outlineLvl w:val="0"/>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第七条  售后服务、保修期</w:t>
      </w:r>
    </w:p>
    <w:p>
      <w:pPr>
        <w:snapToGrid w:val="0"/>
        <w:spacing w:line="420" w:lineRule="exact"/>
        <w:ind w:firstLine="560" w:firstLineChars="200"/>
        <w:rPr>
          <w:rFonts w:hint="eastAsia" w:ascii="仿宋_GB2312" w:hAnsi="仿宋_GB2312" w:eastAsia="仿宋_GB2312" w:cs="仿宋_GB2312"/>
          <w:color w:val="000000"/>
          <w:sz w:val="28"/>
          <w:szCs w:val="28"/>
          <w:u w:val="single"/>
        </w:rPr>
      </w:pPr>
      <w:r>
        <w:rPr>
          <w:rFonts w:hint="eastAsia" w:ascii="仿宋_GB2312" w:hAnsi="仿宋_GB2312" w:eastAsia="仿宋_GB2312" w:cs="仿宋_GB2312"/>
          <w:color w:val="000000"/>
          <w:sz w:val="28"/>
          <w:szCs w:val="28"/>
        </w:rPr>
        <w:t>1.产品保修期：</w:t>
      </w:r>
      <w:r>
        <w:rPr>
          <w:rFonts w:hint="eastAsia" w:ascii="仿宋_GB2312" w:hAnsi="仿宋_GB2312" w:eastAsia="仿宋_GB2312" w:cs="仿宋_GB2312"/>
          <w:color w:val="000000"/>
          <w:sz w:val="28"/>
          <w:szCs w:val="28"/>
          <w:u w:val="single"/>
        </w:rPr>
        <w:t xml:space="preserve">      </w:t>
      </w:r>
      <w:r>
        <w:rPr>
          <w:rFonts w:hint="eastAsia" w:ascii="仿宋_GB2312" w:hAnsi="仿宋_GB2312" w:eastAsia="仿宋_GB2312" w:cs="仿宋_GB2312"/>
          <w:color w:val="000000"/>
          <w:sz w:val="28"/>
          <w:szCs w:val="28"/>
        </w:rPr>
        <w:t>年，自甲方验收合格之日起算。</w:t>
      </w:r>
      <w:r>
        <w:rPr>
          <w:rFonts w:hint="eastAsia" w:ascii="仿宋_GB2312" w:hAnsi="仿宋_GB2312" w:eastAsia="仿宋_GB2312" w:cs="仿宋_GB2312"/>
          <w:color w:val="000000"/>
          <w:sz w:val="28"/>
          <w:szCs w:val="28"/>
          <w:u w:val="single"/>
        </w:rPr>
        <w:t xml:space="preserve">     </w:t>
      </w:r>
    </w:p>
    <w:p>
      <w:pPr>
        <w:snapToGrid w:val="0"/>
        <w:spacing w:line="420" w:lineRule="exact"/>
        <w:ind w:firstLine="560" w:firstLineChars="200"/>
        <w:rPr>
          <w:rFonts w:hint="eastAsia" w:ascii="仿宋_GB2312" w:hAnsi="仿宋_GB2312" w:eastAsia="仿宋_GB2312" w:cs="仿宋_GB2312"/>
          <w:sz w:val="28"/>
          <w:szCs w:val="28"/>
          <w:u w:val="single"/>
        </w:rPr>
      </w:pPr>
      <w:r>
        <w:rPr>
          <w:rFonts w:hint="eastAsia" w:ascii="仿宋_GB2312" w:hAnsi="仿宋_GB2312" w:eastAsia="仿宋_GB2312" w:cs="仿宋_GB2312"/>
          <w:sz w:val="28"/>
          <w:szCs w:val="28"/>
        </w:rPr>
        <w:t>2.乙方提供的服务承诺和售后服务及保修期责任等其它具体约定事项。</w:t>
      </w:r>
    </w:p>
    <w:p>
      <w:pPr>
        <w:snapToGrid w:val="0"/>
        <w:spacing w:line="420" w:lineRule="exact"/>
        <w:ind w:firstLine="562" w:firstLineChars="200"/>
        <w:outlineLvl w:val="0"/>
        <w:rPr>
          <w:rFonts w:hint="eastAsia" w:ascii="仿宋_GB2312" w:hAnsi="仿宋_GB2312" w:eastAsia="仿宋_GB2312" w:cs="仿宋_GB2312"/>
          <w:sz w:val="28"/>
          <w:szCs w:val="28"/>
        </w:rPr>
      </w:pPr>
      <w:r>
        <w:rPr>
          <w:rFonts w:hint="eastAsia" w:ascii="仿宋_GB2312" w:hAnsi="仿宋_GB2312" w:eastAsia="仿宋_GB2312" w:cs="仿宋_GB2312"/>
          <w:b/>
          <w:sz w:val="28"/>
          <w:szCs w:val="28"/>
        </w:rPr>
        <w:t>第八条　付款方式</w:t>
      </w:r>
    </w:p>
    <w:p>
      <w:pPr>
        <w:snapToGrid w:val="0"/>
        <w:spacing w:line="420" w:lineRule="exact"/>
        <w:ind w:right="33" w:firstLine="560" w:firstLineChars="200"/>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1.付款方式：</w:t>
      </w:r>
    </w:p>
    <w:p>
      <w:pPr>
        <w:snapToGrid w:val="0"/>
        <w:spacing w:line="42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乙方完成本合同所建设视频综合管理平台系统完成硬件设备安装，并实现下属单位视频接入，可在总部及互联网状态下对视频进行实现预览和录像回放，乙方可申请第一次进度款，甲方在收到乙方提交完整的付款申请资料后，向乙方支付本合同总费用的30%，即人民币</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元（小写），大写      元整。</w:t>
      </w:r>
    </w:p>
    <w:p>
      <w:pPr>
        <w:snapToGrid w:val="0"/>
        <w:spacing w:line="42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乙方完成该合同项目，验收后1个月期满起5个工作日内，甲方支付乙方本合同总费用的65%，即人民币</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元（小写），大写</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元整。</w:t>
      </w:r>
    </w:p>
    <w:p>
      <w:pPr>
        <w:snapToGrid w:val="0"/>
        <w:spacing w:line="42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项目验收之日起，满1年后10个工作日内，甲方在收到乙方提交完整的付款申请资料后，向乙方支付本合同总金额的5%</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即人民币</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元（小写），大写</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元整。</w:t>
      </w:r>
    </w:p>
    <w:p>
      <w:pPr>
        <w:pStyle w:val="5"/>
        <w:ind w:left="5250"/>
        <w:rPr>
          <w:rFonts w:hint="eastAsia" w:ascii="仿宋_GB2312" w:hAnsi="仿宋_GB2312" w:eastAsia="仿宋_GB2312" w:cs="仿宋_GB2312"/>
        </w:rPr>
      </w:pPr>
    </w:p>
    <w:p>
      <w:pPr>
        <w:snapToGrid w:val="0"/>
        <w:spacing w:line="336" w:lineRule="auto"/>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2.甲方单位发票信息</w:t>
      </w:r>
    </w:p>
    <w:p>
      <w:pPr>
        <w:snapToGrid w:val="0"/>
        <w:spacing w:line="336" w:lineRule="auto"/>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单位名称： </w:t>
      </w:r>
    </w:p>
    <w:p>
      <w:pPr>
        <w:snapToGrid w:val="0"/>
        <w:spacing w:line="336" w:lineRule="auto"/>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纳税人识别号：</w:t>
      </w:r>
    </w:p>
    <w:p>
      <w:pPr>
        <w:snapToGrid w:val="0"/>
        <w:spacing w:line="336" w:lineRule="auto"/>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开户行名称： </w:t>
      </w:r>
    </w:p>
    <w:p>
      <w:pPr>
        <w:snapToGrid w:val="0"/>
        <w:spacing w:line="336" w:lineRule="auto"/>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账      号：</w:t>
      </w:r>
    </w:p>
    <w:p>
      <w:pPr>
        <w:snapToGrid w:val="0"/>
        <w:spacing w:line="336" w:lineRule="auto"/>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地      址： </w:t>
      </w:r>
    </w:p>
    <w:p>
      <w:pPr>
        <w:snapToGrid w:val="0"/>
        <w:spacing w:line="336" w:lineRule="auto"/>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3、乙方单位收款信息</w:t>
      </w:r>
    </w:p>
    <w:p>
      <w:pPr>
        <w:snapToGrid w:val="0"/>
        <w:spacing w:line="336"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单 位 名  称：</w:t>
      </w:r>
    </w:p>
    <w:p>
      <w:pPr>
        <w:snapToGrid w:val="0"/>
        <w:spacing w:line="336" w:lineRule="auto"/>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开户行名称： </w:t>
      </w:r>
    </w:p>
    <w:p>
      <w:pPr>
        <w:snapToGrid w:val="0"/>
        <w:spacing w:line="336" w:lineRule="auto"/>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账      号：</w:t>
      </w:r>
    </w:p>
    <w:p>
      <w:pPr>
        <w:spacing w:line="360" w:lineRule="auto"/>
        <w:ind w:firstLine="560" w:firstLineChars="200"/>
        <w:outlineLvl w:val="0"/>
        <w:rPr>
          <w:rFonts w:hint="eastAsia" w:ascii="仿宋_GB2312" w:hAnsi="仿宋_GB2312" w:eastAsia="仿宋_GB2312" w:cs="仿宋_GB2312"/>
          <w:color w:val="000000"/>
          <w:sz w:val="28"/>
          <w:szCs w:val="28"/>
        </w:rPr>
      </w:pPr>
      <w:r>
        <w:rPr>
          <w:rFonts w:hint="eastAsia" w:ascii="仿宋_GB2312" w:hAnsi="仿宋_GB2312" w:eastAsia="仿宋_GB2312" w:cs="仿宋_GB2312"/>
          <w:sz w:val="28"/>
          <w:szCs w:val="28"/>
        </w:rPr>
        <w:t>4.</w:t>
      </w:r>
      <w:r>
        <w:rPr>
          <w:rFonts w:hint="eastAsia" w:ascii="仿宋_GB2312" w:hAnsi="仿宋_GB2312" w:eastAsia="仿宋_GB2312" w:cs="仿宋_GB2312"/>
          <w:color w:val="000000"/>
          <w:sz w:val="28"/>
          <w:szCs w:val="28"/>
        </w:rPr>
        <w:t>发票开具</w:t>
      </w:r>
    </w:p>
    <w:p>
      <w:pPr>
        <w:spacing w:line="360" w:lineRule="auto"/>
        <w:ind w:firstLine="560" w:firstLineChars="200"/>
        <w:outlineLvl w:val="0"/>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①在甲方按合同约定付款前，乙方应先开具等额合法的增值税普通发票给甲方。如甲方未收到等额增值税普通发票，甲方有权拒付相关款项，乙方承担违约责任。</w:t>
      </w:r>
    </w:p>
    <w:p>
      <w:pPr>
        <w:spacing w:line="360" w:lineRule="auto"/>
        <w:ind w:firstLine="560" w:firstLineChars="200"/>
        <w:outlineLvl w:val="0"/>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②如甲方丢失增值税普通发票发票联，则乙方必须向甲方提供发票记账联复印件及乙方主管税务机关出具的《丢失增值税专用发票已报税证明单》，供甲方作为增值税进项税额的抵扣凭证。</w:t>
      </w:r>
    </w:p>
    <w:p>
      <w:pPr>
        <w:spacing w:line="360" w:lineRule="auto"/>
        <w:ind w:firstLine="560" w:firstLineChars="200"/>
        <w:outlineLvl w:val="0"/>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③如乙方提供的增值税发票是假的或虚开的，被相关政府部门查出，一切责任由乙方承担。</w:t>
      </w:r>
    </w:p>
    <w:p>
      <w:pPr>
        <w:snapToGrid w:val="0"/>
        <w:spacing w:line="420" w:lineRule="exact"/>
        <w:ind w:firstLine="689" w:firstLineChars="245"/>
        <w:outlineLvl w:val="0"/>
        <w:rPr>
          <w:rFonts w:hint="eastAsia" w:ascii="仿宋_GB2312" w:hAnsi="仿宋_GB2312" w:eastAsia="仿宋_GB2312" w:cs="仿宋_GB2312"/>
          <w:sz w:val="28"/>
          <w:szCs w:val="28"/>
        </w:rPr>
      </w:pPr>
      <w:r>
        <w:rPr>
          <w:rFonts w:hint="eastAsia" w:ascii="仿宋_GB2312" w:hAnsi="仿宋_GB2312" w:eastAsia="仿宋_GB2312" w:cs="仿宋_GB2312"/>
          <w:b/>
          <w:sz w:val="28"/>
          <w:szCs w:val="28"/>
        </w:rPr>
        <w:t>第九条  税费本合同执行中相关的一切税费均由乙方负担。</w:t>
      </w:r>
    </w:p>
    <w:p>
      <w:pPr>
        <w:snapToGrid w:val="0"/>
        <w:spacing w:line="420" w:lineRule="exact"/>
        <w:ind w:firstLine="700" w:firstLineChars="249"/>
        <w:outlineLvl w:val="0"/>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第十条  违约责任</w:t>
      </w:r>
    </w:p>
    <w:p>
      <w:pPr>
        <w:snapToGrid w:val="0"/>
        <w:spacing w:line="42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1.乙方所提供的产品规格、技术标准、材料等质量不合格的，应在收到甲方书面通知后更换，但乙方无需因此承担逾期交付的违约责任。                                       </w:t>
      </w:r>
    </w:p>
    <w:p>
      <w:pPr>
        <w:snapToGrid w:val="0"/>
        <w:spacing w:line="42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2.乙方提供的产品如侵犯了第三方合法权益而引发的任何纠纷或诉讼，均由乙方负责交涉并承担全部责任。</w:t>
      </w:r>
    </w:p>
    <w:p>
      <w:pPr>
        <w:snapToGrid w:val="0"/>
        <w:spacing w:line="42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3.因包装、运输引起的产品损坏，按质量不合格处理。</w:t>
      </w:r>
    </w:p>
    <w:p>
      <w:pPr>
        <w:snapToGrid w:val="0"/>
        <w:spacing w:line="42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4.甲方无故延期接收产品、乙方无故逾期交付的，每天向对方偿付违约货款额3%违约金，但违约金累计不得超过违约货款额5%，超过</w:t>
      </w:r>
      <w:r>
        <w:rPr>
          <w:rFonts w:hint="eastAsia" w:ascii="仿宋_GB2312" w:hAnsi="仿宋_GB2312" w:eastAsia="仿宋_GB2312" w:cs="仿宋_GB2312"/>
          <w:color w:val="000000"/>
          <w:sz w:val="28"/>
          <w:szCs w:val="28"/>
          <w:u w:val="single"/>
        </w:rPr>
        <w:t xml:space="preserve">  15 </w:t>
      </w:r>
      <w:r>
        <w:rPr>
          <w:rFonts w:hint="eastAsia" w:ascii="仿宋_GB2312" w:hAnsi="仿宋_GB2312" w:eastAsia="仿宋_GB2312" w:cs="仿宋_GB2312"/>
          <w:sz w:val="28"/>
          <w:szCs w:val="28"/>
        </w:rPr>
        <w:t xml:space="preserve">天对方有权解除合同，违约方承担因此给对方造成经济损失；甲方延期付货款的，每天向乙方偿付延期货款额3%滞纳金，但滞纳金累计不得超过延期货款额5%，逾期 </w:t>
      </w:r>
      <w:r>
        <w:rPr>
          <w:rFonts w:hint="eastAsia" w:ascii="仿宋_GB2312" w:hAnsi="仿宋_GB2312" w:eastAsia="仿宋_GB2312" w:cs="仿宋_GB2312"/>
          <w:sz w:val="28"/>
          <w:szCs w:val="28"/>
          <w:u w:val="single"/>
        </w:rPr>
        <w:t xml:space="preserve"> 30  </w:t>
      </w:r>
      <w:r>
        <w:rPr>
          <w:rFonts w:hint="eastAsia" w:ascii="仿宋_GB2312" w:hAnsi="仿宋_GB2312" w:eastAsia="仿宋_GB2312" w:cs="仿宋_GB2312"/>
          <w:sz w:val="28"/>
          <w:szCs w:val="28"/>
        </w:rPr>
        <w:t>天，乙方有权解除本合同。</w:t>
      </w:r>
    </w:p>
    <w:p>
      <w:pPr>
        <w:snapToGrid w:val="0"/>
        <w:spacing w:line="42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5.甲方单方解除本合同或因甲方责任致使本合同解除、终止的，乙方有权要求甲方按合同总金额的</w:t>
      </w:r>
      <w:r>
        <w:rPr>
          <w:rFonts w:hint="eastAsia" w:ascii="仿宋_GB2312" w:hAnsi="仿宋_GB2312" w:eastAsia="仿宋_GB2312" w:cs="仿宋_GB2312"/>
          <w:sz w:val="28"/>
          <w:szCs w:val="28"/>
          <w:u w:val="single"/>
        </w:rPr>
        <w:t xml:space="preserve">  20 </w:t>
      </w:r>
      <w:r>
        <w:rPr>
          <w:rFonts w:hint="eastAsia" w:ascii="仿宋_GB2312" w:hAnsi="仿宋_GB2312" w:eastAsia="仿宋_GB2312" w:cs="仿宋_GB2312"/>
          <w:sz w:val="28"/>
          <w:szCs w:val="28"/>
        </w:rPr>
        <w:t>%支付违约金，且乙方有权不予返还甲方已支付的货款。</w:t>
      </w:r>
    </w:p>
    <w:p>
      <w:pPr>
        <w:spacing w:line="360" w:lineRule="auto"/>
        <w:ind w:firstLine="560" w:firstLineChars="200"/>
        <w:rPr>
          <w:rFonts w:hint="eastAsia" w:ascii="仿宋_GB2312" w:hAnsi="仿宋_GB2312" w:eastAsia="仿宋_GB2312" w:cs="仿宋_GB2312"/>
          <w:kern w:val="0"/>
          <w:sz w:val="28"/>
          <w:szCs w:val="28"/>
        </w:rPr>
      </w:pPr>
      <w:r>
        <w:rPr>
          <w:rFonts w:hint="eastAsia" w:ascii="仿宋_GB2312" w:hAnsi="仿宋_GB2312" w:eastAsia="仿宋_GB2312" w:cs="仿宋_GB2312"/>
          <w:sz w:val="28"/>
          <w:szCs w:val="28"/>
        </w:rPr>
        <w:t>6.</w:t>
      </w:r>
      <w:r>
        <w:rPr>
          <w:rStyle w:val="14"/>
          <w:rFonts w:hint="eastAsia" w:ascii="仿宋_GB2312" w:hAnsi="仿宋_GB2312" w:eastAsia="仿宋_GB2312" w:cs="仿宋_GB2312"/>
          <w:b w:val="0"/>
          <w:sz w:val="28"/>
          <w:szCs w:val="28"/>
        </w:rPr>
        <w:t>任何一方违约导致守约方涉诉、涉仲裁、遭到任何行政处罚或第三人索赔而产生损失的，守约方有权就损失部分向违约方追偿，损失包括但不限于经济损失、因涉诉、涉仲裁而产生的诉讼费、仲裁费、律师费、调查取证费及第三人索赔等。</w:t>
      </w:r>
    </w:p>
    <w:p>
      <w:pPr>
        <w:snapToGrid w:val="0"/>
        <w:spacing w:line="420" w:lineRule="exact"/>
        <w:ind w:firstLine="551" w:firstLineChars="196"/>
        <w:outlineLvl w:val="0"/>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第十一条  不可抗力事件处理</w:t>
      </w:r>
    </w:p>
    <w:p>
      <w:pPr>
        <w:snapToGrid w:val="0"/>
        <w:spacing w:line="42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1.在合同有效期内，任何一方因不可抗力事件或国家政策导致不能履行合同，则合同履行期可延长，其延长期与不可抗力影响期相同。</w:t>
      </w:r>
    </w:p>
    <w:p>
      <w:pPr>
        <w:snapToGrid w:val="0"/>
        <w:spacing w:line="42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2.不可抗力事件发生后，应立即通知对方，并寄送有关权威机构出具的证明。</w:t>
      </w:r>
    </w:p>
    <w:p>
      <w:pPr>
        <w:snapToGrid w:val="0"/>
        <w:spacing w:line="420" w:lineRule="exact"/>
        <w:ind w:firstLine="548" w:firstLineChars="196"/>
        <w:outlineLvl w:val="0"/>
        <w:rPr>
          <w:rFonts w:hint="eastAsia" w:ascii="仿宋_GB2312" w:hAnsi="仿宋_GB2312" w:eastAsia="仿宋_GB2312" w:cs="仿宋_GB2312"/>
          <w:b/>
          <w:sz w:val="28"/>
          <w:szCs w:val="28"/>
        </w:rPr>
      </w:pPr>
      <w:r>
        <w:rPr>
          <w:rFonts w:hint="eastAsia" w:ascii="仿宋_GB2312" w:hAnsi="仿宋_GB2312" w:eastAsia="仿宋_GB2312" w:cs="仿宋_GB2312"/>
          <w:sz w:val="28"/>
          <w:szCs w:val="28"/>
        </w:rPr>
        <w:t>3.不可抗力事件延续120天以上，双方应通过友好协商，确定是否继续履行合同。</w:t>
      </w:r>
    </w:p>
    <w:p>
      <w:pPr>
        <w:spacing w:line="360" w:lineRule="auto"/>
        <w:ind w:firstLine="562" w:firstLineChars="200"/>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第十二条  保密责任</w:t>
      </w:r>
    </w:p>
    <w:p>
      <w:pPr>
        <w:snapToGrid w:val="0"/>
        <w:spacing w:line="42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甲乙双方均有责任对本合同内容、价格及履行情况保密。甲方人员就接触到乙方不宜公开的资料、文件及提供的咨询意见，负有保密责任；乙方人员对其在工作中接触到涉及甲方经营决策、商业及技术秘密等资料和信息，负有保密责任。</w:t>
      </w:r>
    </w:p>
    <w:p>
      <w:pPr>
        <w:snapToGrid w:val="0"/>
        <w:spacing w:line="42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2.无特别约定，甲、乙双方就本合同事项负有永久保密责任，不得因本合同的终止而终止。</w:t>
      </w:r>
    </w:p>
    <w:p>
      <w:pPr>
        <w:snapToGrid w:val="0"/>
        <w:spacing w:line="42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3.若甲乙任一方在未征得另一方同意的情况下，向其他任何第三方泄漏涉密的有关信息和资料信息，应当承担合同违约责任与侵权责任。</w:t>
      </w:r>
    </w:p>
    <w:p>
      <w:pPr>
        <w:snapToGrid w:val="0"/>
        <w:spacing w:line="420" w:lineRule="exact"/>
        <w:ind w:firstLine="562" w:firstLineChars="200"/>
        <w:outlineLvl w:val="0"/>
        <w:rPr>
          <w:rFonts w:hint="eastAsia" w:ascii="仿宋_GB2312" w:hAnsi="仿宋_GB2312" w:eastAsia="仿宋_GB2312" w:cs="仿宋_GB2312"/>
          <w:sz w:val="28"/>
          <w:szCs w:val="28"/>
        </w:rPr>
      </w:pPr>
      <w:r>
        <w:rPr>
          <w:rFonts w:hint="eastAsia" w:ascii="仿宋_GB2312" w:hAnsi="仿宋_GB2312" w:eastAsia="仿宋_GB2312" w:cs="仿宋_GB2312"/>
          <w:b/>
          <w:sz w:val="28"/>
          <w:szCs w:val="28"/>
        </w:rPr>
        <w:t>第十三条  合同争议解决</w:t>
      </w:r>
    </w:p>
    <w:p>
      <w:pPr>
        <w:snapToGrid w:val="0"/>
        <w:spacing w:line="360" w:lineRule="auto"/>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1.因履行本合同引起的或与本合同有关的争议，甲乙双方应首先通过友好协商解决，如果协商不能解决，可向甲方所在地人民法院提起诉讼。</w:t>
      </w:r>
    </w:p>
    <w:p>
      <w:pPr>
        <w:snapToGrid w:val="0"/>
        <w:spacing w:line="360" w:lineRule="auto"/>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2.诉讼期间，本合同继续履行。</w:t>
      </w:r>
    </w:p>
    <w:p>
      <w:pPr>
        <w:snapToGrid w:val="0"/>
        <w:spacing w:line="360" w:lineRule="auto"/>
        <w:ind w:firstLine="551" w:firstLineChars="196"/>
        <w:outlineLvl w:val="0"/>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第十四条  合同生效及其它</w:t>
      </w:r>
    </w:p>
    <w:p>
      <w:pPr>
        <w:snapToGrid w:val="0"/>
        <w:spacing w:line="360" w:lineRule="auto"/>
        <w:ind w:firstLine="548" w:firstLineChars="196"/>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1.合同经双方法定代表人或授权代表签字并加盖单位合同章或公章后生效。</w:t>
      </w:r>
    </w:p>
    <w:p>
      <w:pPr>
        <w:snapToGrid w:val="0"/>
        <w:spacing w:line="360" w:lineRule="auto"/>
        <w:ind w:firstLine="548" w:firstLineChars="196"/>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2.本合同未尽事宜，遵照《合同法》有关条文执行。</w:t>
      </w:r>
    </w:p>
    <w:p>
      <w:pPr>
        <w:snapToGrid w:val="0"/>
        <w:spacing w:line="360" w:lineRule="auto"/>
        <w:ind w:firstLine="548" w:firstLineChars="196"/>
        <w:rPr>
          <w:rFonts w:hint="eastAsia" w:ascii="仿宋_GB2312" w:hAnsi="仿宋_GB2312" w:eastAsia="仿宋_GB2312" w:cs="仿宋_GB2312"/>
          <w:b/>
          <w:sz w:val="28"/>
          <w:szCs w:val="28"/>
        </w:rPr>
      </w:pPr>
      <w:r>
        <w:rPr>
          <w:rFonts w:hint="eastAsia" w:ascii="仿宋_GB2312" w:hAnsi="仿宋_GB2312" w:eastAsia="仿宋_GB2312" w:cs="仿宋_GB2312"/>
          <w:sz w:val="28"/>
          <w:szCs w:val="28"/>
        </w:rPr>
        <w:t>3.本合同项下所有通知以及与本合同产生纠纷相关的法律文件（含法院或其他裁判机构的文件）一经EMS邮寄送到双方于本合同尾部留下的地址即为送达（不论是否由双方本人亲自签署）。任何一方地址变更的，应在变更前</w:t>
      </w:r>
      <w:r>
        <w:rPr>
          <w:rFonts w:hint="eastAsia" w:ascii="仿宋_GB2312" w:hAnsi="仿宋_GB2312" w:eastAsia="仿宋_GB2312" w:cs="仿宋_GB2312"/>
          <w:sz w:val="28"/>
          <w:szCs w:val="28"/>
          <w:u w:val="single"/>
        </w:rPr>
        <w:t xml:space="preserve">  5 </w:t>
      </w:r>
      <w:r>
        <w:rPr>
          <w:rFonts w:hint="eastAsia" w:ascii="仿宋_GB2312" w:hAnsi="仿宋_GB2312" w:eastAsia="仿宋_GB2312" w:cs="仿宋_GB2312"/>
          <w:sz w:val="28"/>
          <w:szCs w:val="28"/>
        </w:rPr>
        <w:t>日内书面通知另一方。若未及时通知的，则原地址即视为有效送达地址。</w:t>
      </w:r>
    </w:p>
    <w:p>
      <w:pPr>
        <w:snapToGrid w:val="0"/>
        <w:spacing w:line="360" w:lineRule="auto"/>
        <w:ind w:firstLine="562" w:firstLineChars="200"/>
        <w:outlineLvl w:val="0"/>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第十五条  合同的变更、终止与转让</w:t>
      </w:r>
    </w:p>
    <w:p>
      <w:pPr>
        <w:snapToGrid w:val="0"/>
        <w:spacing w:line="360" w:lineRule="auto"/>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1.本合同一经签订，甲乙双方不得擅自变更、中止或终止。</w:t>
      </w:r>
    </w:p>
    <w:p>
      <w:pPr>
        <w:snapToGrid w:val="0"/>
        <w:spacing w:line="360" w:lineRule="auto"/>
        <w:ind w:firstLine="548" w:firstLineChars="196"/>
        <w:rPr>
          <w:rFonts w:hint="eastAsia" w:ascii="仿宋_GB2312" w:hAnsi="仿宋_GB2312" w:eastAsia="仿宋_GB2312" w:cs="仿宋_GB2312"/>
          <w:b/>
          <w:sz w:val="28"/>
          <w:szCs w:val="28"/>
        </w:rPr>
      </w:pPr>
      <w:r>
        <w:rPr>
          <w:rFonts w:hint="eastAsia" w:ascii="仿宋_GB2312" w:hAnsi="仿宋_GB2312" w:eastAsia="仿宋_GB2312" w:cs="仿宋_GB2312"/>
          <w:sz w:val="28"/>
          <w:szCs w:val="28"/>
        </w:rPr>
        <w:t>2.乙方不得擅自转让其应履行的合同义务。</w:t>
      </w:r>
    </w:p>
    <w:p>
      <w:pPr>
        <w:snapToGrid w:val="0"/>
        <w:spacing w:line="420" w:lineRule="exact"/>
        <w:ind w:firstLine="562" w:firstLineChars="200"/>
        <w:outlineLvl w:val="0"/>
        <w:rPr>
          <w:rFonts w:hint="eastAsia" w:ascii="仿宋_GB2312" w:hAnsi="仿宋_GB2312" w:eastAsia="仿宋_GB2312" w:cs="仿宋_GB2312"/>
          <w:sz w:val="28"/>
          <w:szCs w:val="28"/>
        </w:rPr>
      </w:pPr>
      <w:r>
        <w:rPr>
          <w:rFonts w:hint="eastAsia" w:ascii="仿宋_GB2312" w:hAnsi="仿宋_GB2312" w:eastAsia="仿宋_GB2312" w:cs="仿宋_GB2312"/>
          <w:b/>
          <w:sz w:val="28"/>
          <w:szCs w:val="28"/>
        </w:rPr>
        <w:t xml:space="preserve">第十六条 </w:t>
      </w:r>
      <w:r>
        <w:rPr>
          <w:rFonts w:hint="eastAsia" w:ascii="仿宋_GB2312" w:hAnsi="仿宋_GB2312" w:eastAsia="仿宋_GB2312" w:cs="仿宋_GB2312"/>
          <w:sz w:val="28"/>
          <w:szCs w:val="28"/>
        </w:rPr>
        <w:t>本合同一式四份，具有同等法律效力，甲乙双方各执二份。</w:t>
      </w:r>
    </w:p>
    <w:p>
      <w:pPr>
        <w:snapToGrid w:val="0"/>
        <w:spacing w:line="480" w:lineRule="auto"/>
        <w:ind w:firstLine="560" w:firstLineChars="200"/>
        <w:outlineLvl w:val="0"/>
        <w:rPr>
          <w:rFonts w:hint="eastAsia" w:ascii="仿宋_GB2312" w:hAnsi="仿宋_GB2312" w:eastAsia="仿宋_GB2312" w:cs="仿宋_GB2312"/>
          <w:sz w:val="28"/>
          <w:szCs w:val="28"/>
        </w:rPr>
      </w:pPr>
    </w:p>
    <w:p>
      <w:pPr>
        <w:snapToGrid w:val="0"/>
        <w:spacing w:line="48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甲方（盖章）：                            乙方（盖章）：</w:t>
      </w:r>
    </w:p>
    <w:p>
      <w:pPr>
        <w:snapToGrid w:val="0"/>
        <w:spacing w:line="480" w:lineRule="auto"/>
        <w:ind w:left="6720" w:hanging="6720" w:hangingChars="24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单位地址：                                单位地址：</w:t>
      </w:r>
    </w:p>
    <w:p>
      <w:pPr>
        <w:snapToGrid w:val="0"/>
        <w:spacing w:line="480" w:lineRule="auto"/>
        <w:ind w:left="6720" w:hanging="6720" w:hangingChars="24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法定代表人或授权代表（签字）：            法定代表人或授权代表（签字）：            </w:t>
      </w:r>
    </w:p>
    <w:p>
      <w:pPr>
        <w:snapToGrid w:val="0"/>
        <w:spacing w:line="480" w:lineRule="auto"/>
        <w:ind w:left="6720" w:hanging="6720" w:hangingChars="24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联系电话：                                联系电话：</w:t>
      </w:r>
    </w:p>
    <w:p>
      <w:pPr>
        <w:snapToGrid w:val="0"/>
        <w:spacing w:line="480" w:lineRule="auto"/>
        <w:ind w:left="6720" w:hanging="6720" w:hangingChars="2400"/>
        <w:rPr>
          <w:rFonts w:hint="eastAsia" w:ascii="仿宋_GB2312" w:hAnsi="仿宋_GB2312" w:eastAsia="仿宋_GB2312" w:cs="仿宋_GB2312"/>
          <w:sz w:val="28"/>
          <w:szCs w:val="28"/>
        </w:rPr>
      </w:pPr>
    </w:p>
    <w:p>
      <w:pPr>
        <w:snapToGrid w:val="0"/>
        <w:spacing w:line="480" w:lineRule="auto"/>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年   月   日                                年   月   日</w:t>
      </w:r>
    </w:p>
    <w:p>
      <w:pPr>
        <w:pStyle w:val="5"/>
        <w:ind w:left="5250" w:firstLine="480"/>
        <w:rPr>
          <w:rFonts w:hint="eastAsia"/>
        </w:rPr>
      </w:pPr>
    </w:p>
    <w:p>
      <w:pPr>
        <w:rPr>
          <w:rFonts w:hint="eastAsia" w:ascii="宋体" w:hAnsi="宋体" w:eastAsia="宋体" w:cs="仿宋_GB2312"/>
          <w:sz w:val="24"/>
          <w:szCs w:val="24"/>
        </w:rPr>
      </w:pPr>
    </w:p>
    <w:sectPr>
      <w:pgSz w:w="11906" w:h="16838"/>
      <w:pgMar w:top="1440" w:right="1361" w:bottom="1440" w:left="136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楷体_GB2312">
    <w:panose1 w:val="02010609030101010101"/>
    <w:charset w:val="86"/>
    <w:family w:val="modern"/>
    <w:pitch w:val="default"/>
    <w:sig w:usb0="00000001" w:usb1="080E0000" w:usb2="00000000" w:usb3="00000000" w:csb0="00040000" w:csb1="00000000"/>
  </w:font>
  <w:font w:name="Cambria Math">
    <w:panose1 w:val="02040503050406030204"/>
    <w:charset w:val="00"/>
    <w:family w:val="roman"/>
    <w:pitch w:val="default"/>
    <w:sig w:usb0="E00006FF" w:usb1="420024FF" w:usb2="02000000" w:usb3="00000000" w:csb0="2000019F" w:csb1="00000000"/>
  </w:font>
  <w:font w:name="Segoe UI Symbol">
    <w:panose1 w:val="020B0502040204020203"/>
    <w:charset w:val="00"/>
    <w:family w:val="swiss"/>
    <w:pitch w:val="default"/>
    <w:sig w:usb0="800001E3" w:usb1="1200FFEF" w:usb2="00040000" w:usb3="04000000" w:csb0="00000001" w:csb1="40000000"/>
  </w:font>
  <w:font w:name="微软雅黑">
    <w:panose1 w:val="020B0503020204020204"/>
    <w:charset w:val="86"/>
    <w:family w:val="swiss"/>
    <w:pitch w:val="default"/>
    <w:sig w:usb0="80000287" w:usb1="2ACF3C50" w:usb2="00000016" w:usb3="00000000" w:csb0="0004001F" w:csb1="00000000"/>
  </w:font>
  <w:font w:name="楷体">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649D7"/>
    <w:multiLevelType w:val="multilevel"/>
    <w:tmpl w:val="044649D7"/>
    <w:lvl w:ilvl="0" w:tentative="0">
      <w:start w:val="1"/>
      <w:numFmt w:val="decimal"/>
      <w:suff w:val="space"/>
      <w:lvlText w:val="%1."/>
      <w:lvlJc w:val="left"/>
      <w:pPr>
        <w:tabs>
          <w:tab w:val="left" w:pos="420"/>
        </w:tabs>
        <w:ind w:left="432" w:hanging="432"/>
      </w:pPr>
      <w:rPr>
        <w:rFonts w:hint="default" w:ascii="宋体" w:hAnsi="宋体" w:eastAsia="宋体" w:cs="宋体"/>
        <w:b/>
        <w:color w:val="auto"/>
        <w:sz w:val="32"/>
      </w:rPr>
    </w:lvl>
    <w:lvl w:ilvl="1" w:tentative="0">
      <w:start w:val="1"/>
      <w:numFmt w:val="decimal"/>
      <w:pStyle w:val="2"/>
      <w:suff w:val="space"/>
      <w:lvlText w:val="%1.%2."/>
      <w:lvlJc w:val="left"/>
      <w:pPr>
        <w:tabs>
          <w:tab w:val="left" w:pos="0"/>
        </w:tabs>
        <w:ind w:left="576" w:hanging="576"/>
      </w:pPr>
      <w:rPr>
        <w:rFonts w:hint="default" w:ascii="宋体" w:hAnsi="宋体" w:eastAsia="宋体" w:cs="宋体"/>
        <w:b/>
        <w:sz w:val="32"/>
      </w:rPr>
    </w:lvl>
    <w:lvl w:ilvl="2" w:tentative="0">
      <w:start w:val="1"/>
      <w:numFmt w:val="decimal"/>
      <w:pStyle w:val="3"/>
      <w:suff w:val="space"/>
      <w:lvlText w:val="%1.%2.%3."/>
      <w:lvlJc w:val="left"/>
      <w:pPr>
        <w:ind w:left="720" w:hanging="720"/>
      </w:pPr>
      <w:rPr>
        <w:rFonts w:hint="default" w:ascii="宋体" w:hAnsi="宋体" w:eastAsia="宋体" w:cs="宋体"/>
      </w:rPr>
    </w:lvl>
    <w:lvl w:ilvl="3" w:tentative="0">
      <w:start w:val="1"/>
      <w:numFmt w:val="decimal"/>
      <w:lvlText w:val="%1.%2.%3.%4."/>
      <w:lvlJc w:val="left"/>
      <w:pPr>
        <w:tabs>
          <w:tab w:val="left" w:pos="420"/>
        </w:tabs>
        <w:ind w:left="2282" w:hanging="864"/>
      </w:pPr>
      <w:rPr>
        <w:rFonts w:hint="default" w:ascii="宋体" w:hAnsi="宋体" w:eastAsia="宋体" w:cs="宋体"/>
        <w:color w:val="auto"/>
      </w:rPr>
    </w:lvl>
    <w:lvl w:ilvl="4" w:tentative="0">
      <w:start w:val="1"/>
      <w:numFmt w:val="decimal"/>
      <w:lvlText w:val="%1.%2.%3.%4.%5."/>
      <w:lvlJc w:val="left"/>
      <w:pPr>
        <w:ind w:left="1008" w:hanging="1008"/>
      </w:pPr>
      <w:rPr>
        <w:rFonts w:hint="default" w:ascii="宋体" w:hAnsi="宋体" w:eastAsia="宋体" w:cs="宋体"/>
        <w:color w:val="auto"/>
      </w:rPr>
    </w:lvl>
    <w:lvl w:ilvl="5" w:tentative="0">
      <w:start w:val="1"/>
      <w:numFmt w:val="decimal"/>
      <w:lvlText w:val="%1.%2.%3.%4.%5.%6."/>
      <w:lvlJc w:val="left"/>
      <w:pPr>
        <w:ind w:left="3845" w:hanging="1152"/>
      </w:pPr>
      <w:rPr>
        <w:rFonts w:hint="default" w:ascii="宋体" w:hAnsi="宋体" w:eastAsia="宋体" w:cs="宋体"/>
        <w:color w:val="auto"/>
      </w:rPr>
    </w:lvl>
    <w:lvl w:ilvl="6" w:tentative="0">
      <w:start w:val="1"/>
      <w:numFmt w:val="decimal"/>
      <w:lvlText w:val="%1.%2.%3.%4.%5.%6.%7"/>
      <w:lvlJc w:val="left"/>
      <w:pPr>
        <w:ind w:left="1296" w:hanging="1296"/>
      </w:pPr>
      <w:rPr>
        <w:rFonts w:hint="eastAsia"/>
      </w:rPr>
    </w:lvl>
    <w:lvl w:ilvl="7" w:tentative="0">
      <w:start w:val="1"/>
      <w:numFmt w:val="decimal"/>
      <w:lvlText w:val="%1.%2.%3.%4.%5.%6.%7.%8"/>
      <w:lvlJc w:val="left"/>
      <w:pPr>
        <w:ind w:left="1440" w:hanging="1440"/>
      </w:pPr>
      <w:rPr>
        <w:rFonts w:hint="eastAsia"/>
      </w:rPr>
    </w:lvl>
    <w:lvl w:ilvl="8" w:tentative="0">
      <w:start w:val="1"/>
      <w:numFmt w:val="decimal"/>
      <w:lvlText w:val="%1.%2.%3.%4.%5.%6.%7.%8.%9"/>
      <w:lvlJc w:val="left"/>
      <w:pPr>
        <w:ind w:left="1584" w:hanging="1584"/>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6224"/>
    <w:rsid w:val="00043873"/>
    <w:rsid w:val="00044185"/>
    <w:rsid w:val="000C32D8"/>
    <w:rsid w:val="00143B1E"/>
    <w:rsid w:val="001541CB"/>
    <w:rsid w:val="0015611E"/>
    <w:rsid w:val="00264B17"/>
    <w:rsid w:val="003018EC"/>
    <w:rsid w:val="00353647"/>
    <w:rsid w:val="003D6F19"/>
    <w:rsid w:val="00441CAB"/>
    <w:rsid w:val="00461EC0"/>
    <w:rsid w:val="0050343B"/>
    <w:rsid w:val="00596224"/>
    <w:rsid w:val="0064104E"/>
    <w:rsid w:val="00643B64"/>
    <w:rsid w:val="00687C48"/>
    <w:rsid w:val="00703DB3"/>
    <w:rsid w:val="007248DC"/>
    <w:rsid w:val="007258ED"/>
    <w:rsid w:val="00881BE9"/>
    <w:rsid w:val="00945ECB"/>
    <w:rsid w:val="009E1645"/>
    <w:rsid w:val="00A05F45"/>
    <w:rsid w:val="00A75EB8"/>
    <w:rsid w:val="00A875E3"/>
    <w:rsid w:val="00B5443F"/>
    <w:rsid w:val="00C708AB"/>
    <w:rsid w:val="00C759BA"/>
    <w:rsid w:val="00C90E17"/>
    <w:rsid w:val="00CA49C3"/>
    <w:rsid w:val="00D36CDC"/>
    <w:rsid w:val="00D43B8C"/>
    <w:rsid w:val="00D47122"/>
    <w:rsid w:val="00E24B38"/>
    <w:rsid w:val="00E43A9B"/>
    <w:rsid w:val="00F714BD"/>
    <w:rsid w:val="02014E21"/>
    <w:rsid w:val="0EC318B9"/>
    <w:rsid w:val="11582341"/>
    <w:rsid w:val="17923236"/>
    <w:rsid w:val="206035DF"/>
    <w:rsid w:val="22076813"/>
    <w:rsid w:val="28743087"/>
    <w:rsid w:val="29CF36E4"/>
    <w:rsid w:val="374E2D53"/>
    <w:rsid w:val="45EB27DB"/>
    <w:rsid w:val="461B0DB3"/>
    <w:rsid w:val="46852C19"/>
    <w:rsid w:val="4E1018D1"/>
    <w:rsid w:val="51154DD6"/>
    <w:rsid w:val="53471701"/>
    <w:rsid w:val="54F81CC2"/>
    <w:rsid w:val="61842985"/>
    <w:rsid w:val="6B77422A"/>
    <w:rsid w:val="6BAD01B8"/>
    <w:rsid w:val="70777059"/>
    <w:rsid w:val="76095524"/>
    <w:rsid w:val="79EC0D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9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nhideWhenUsed="0" w:uiPriority="0" w:semiHidden="0"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qFormat/>
    <w:uiPriority w:val="9"/>
    <w:pPr>
      <w:widowControl/>
      <w:numPr>
        <w:ilvl w:val="1"/>
        <w:numId w:val="1"/>
      </w:numPr>
      <w:spacing w:before="100" w:beforeAutospacing="1" w:after="100" w:afterAutospacing="1"/>
      <w:ind w:left="576" w:hanging="576"/>
      <w:jc w:val="left"/>
      <w:outlineLvl w:val="1"/>
    </w:pPr>
    <w:rPr>
      <w:rFonts w:ascii="宋体" w:hAnsi="宋体" w:eastAsia="仿宋_GB2312"/>
      <w:b/>
      <w:bCs/>
      <w:kern w:val="0"/>
      <w:sz w:val="32"/>
      <w:szCs w:val="36"/>
    </w:rPr>
  </w:style>
  <w:style w:type="paragraph" w:styleId="3">
    <w:name w:val="heading 3"/>
    <w:basedOn w:val="1"/>
    <w:next w:val="1"/>
    <w:qFormat/>
    <w:uiPriority w:val="0"/>
    <w:pPr>
      <w:keepNext/>
      <w:numPr>
        <w:ilvl w:val="2"/>
        <w:numId w:val="1"/>
      </w:numPr>
      <w:ind w:left="720" w:hanging="720"/>
      <w:jc w:val="left"/>
      <w:outlineLvl w:val="2"/>
    </w:pPr>
    <w:rPr>
      <w:rFonts w:ascii="Times New Roman" w:hAnsi="Times New Roman" w:eastAsia="仿宋_GB2312"/>
      <w:b/>
      <w:bCs/>
      <w:sz w:val="32"/>
    </w:rPr>
  </w:style>
  <w:style w:type="character" w:default="1" w:styleId="13">
    <w:name w:val="Default Paragraph Font"/>
    <w:semiHidden/>
    <w:unhideWhenUsed/>
    <w:qFormat/>
    <w:uiPriority w:val="1"/>
  </w:style>
  <w:style w:type="table" w:default="1" w:styleId="12">
    <w:name w:val="Normal Table"/>
    <w:semiHidden/>
    <w:unhideWhenUsed/>
    <w:qFormat/>
    <w:uiPriority w:val="99"/>
    <w:tblPr>
      <w:tblLayout w:type="fixed"/>
      <w:tblCellMar>
        <w:top w:w="0" w:type="dxa"/>
        <w:left w:w="108" w:type="dxa"/>
        <w:bottom w:w="0" w:type="dxa"/>
        <w:right w:w="108" w:type="dxa"/>
      </w:tblCellMar>
    </w:tblPr>
  </w:style>
  <w:style w:type="paragraph" w:styleId="4">
    <w:name w:val="Normal Indent"/>
    <w:basedOn w:val="1"/>
    <w:uiPriority w:val="0"/>
    <w:pPr>
      <w:widowControl/>
      <w:ind w:firstLine="420"/>
      <w:jc w:val="left"/>
    </w:pPr>
    <w:rPr>
      <w:rFonts w:ascii="Times New Roman" w:hAnsi="Times New Roman" w:eastAsia="仿宋_GB2312" w:cs="Times New Roman"/>
      <w:b/>
      <w:kern w:val="0"/>
      <w:sz w:val="30"/>
    </w:rPr>
  </w:style>
  <w:style w:type="paragraph" w:styleId="5">
    <w:name w:val="Body Text"/>
    <w:basedOn w:val="1"/>
    <w:link w:val="17"/>
    <w:uiPriority w:val="0"/>
    <w:pPr>
      <w:spacing w:line="360" w:lineRule="auto"/>
    </w:pPr>
    <w:rPr>
      <w:rFonts w:ascii="Calibri" w:hAnsi="Calibri" w:eastAsia="仿宋_GB2312" w:cs="Times New Roman"/>
      <w:sz w:val="24"/>
    </w:rPr>
  </w:style>
  <w:style w:type="paragraph" w:styleId="6">
    <w:name w:val="Body Text Indent"/>
    <w:basedOn w:val="1"/>
    <w:link w:val="21"/>
    <w:semiHidden/>
    <w:unhideWhenUsed/>
    <w:uiPriority w:val="99"/>
    <w:pPr>
      <w:spacing w:after="120"/>
      <w:ind w:left="420" w:leftChars="200"/>
    </w:pPr>
  </w:style>
  <w:style w:type="paragraph" w:styleId="7">
    <w:name w:val="Date"/>
    <w:basedOn w:val="1"/>
    <w:next w:val="1"/>
    <w:link w:val="20"/>
    <w:qFormat/>
    <w:uiPriority w:val="0"/>
    <w:pPr>
      <w:ind w:left="100" w:leftChars="2500"/>
    </w:pPr>
    <w:rPr>
      <w:szCs w:val="24"/>
    </w:rPr>
  </w:style>
  <w:style w:type="paragraph" w:styleId="8">
    <w:name w:val="Balloon Text"/>
    <w:basedOn w:val="1"/>
    <w:link w:val="16"/>
    <w:semiHidden/>
    <w:unhideWhenUsed/>
    <w:uiPriority w:val="99"/>
    <w:rPr>
      <w:sz w:val="18"/>
      <w:szCs w:val="18"/>
    </w:rPr>
  </w:style>
  <w:style w:type="paragraph" w:styleId="9">
    <w:name w:val="footer"/>
    <w:basedOn w:val="1"/>
    <w:link w:val="19"/>
    <w:unhideWhenUsed/>
    <w:uiPriority w:val="99"/>
    <w:pPr>
      <w:tabs>
        <w:tab w:val="center" w:pos="4153"/>
        <w:tab w:val="right" w:pos="8306"/>
      </w:tabs>
      <w:snapToGrid w:val="0"/>
      <w:jc w:val="left"/>
    </w:pPr>
    <w:rPr>
      <w:sz w:val="18"/>
      <w:szCs w:val="18"/>
    </w:rPr>
  </w:style>
  <w:style w:type="paragraph" w:styleId="10">
    <w:name w:val="header"/>
    <w:basedOn w:val="1"/>
    <w:link w:val="18"/>
    <w:unhideWhenUsed/>
    <w:qFormat/>
    <w:uiPriority w:val="99"/>
    <w:pPr>
      <w:pBdr>
        <w:bottom w:val="single" w:color="auto" w:sz="6" w:space="1"/>
      </w:pBdr>
      <w:tabs>
        <w:tab w:val="center" w:pos="4153"/>
        <w:tab w:val="right" w:pos="8306"/>
      </w:tabs>
      <w:snapToGrid w:val="0"/>
      <w:jc w:val="center"/>
    </w:pPr>
    <w:rPr>
      <w:sz w:val="18"/>
      <w:szCs w:val="18"/>
    </w:rPr>
  </w:style>
  <w:style w:type="paragraph" w:styleId="11">
    <w:name w:val="toc 1"/>
    <w:basedOn w:val="1"/>
    <w:next w:val="1"/>
    <w:unhideWhenUsed/>
    <w:uiPriority w:val="99"/>
    <w:pPr>
      <w:jc w:val="center"/>
    </w:pPr>
    <w:rPr>
      <w:rFonts w:ascii="Times New Roman" w:hAnsi="Times New Roman" w:eastAsia="仿宋_GB2312" w:cs="Times New Roman"/>
      <w:sz w:val="32"/>
      <w:szCs w:val="21"/>
    </w:rPr>
  </w:style>
  <w:style w:type="character" w:styleId="14">
    <w:name w:val="Strong"/>
    <w:qFormat/>
    <w:uiPriority w:val="22"/>
    <w:rPr>
      <w:b/>
      <w:bCs/>
    </w:rPr>
  </w:style>
  <w:style w:type="paragraph" w:styleId="15">
    <w:name w:val="List Paragraph"/>
    <w:basedOn w:val="1"/>
    <w:qFormat/>
    <w:uiPriority w:val="34"/>
    <w:pPr>
      <w:ind w:firstLine="420" w:firstLineChars="200"/>
    </w:pPr>
  </w:style>
  <w:style w:type="character" w:customStyle="1" w:styleId="16">
    <w:name w:val="批注框文本 字符"/>
    <w:basedOn w:val="13"/>
    <w:link w:val="8"/>
    <w:semiHidden/>
    <w:qFormat/>
    <w:uiPriority w:val="99"/>
    <w:rPr>
      <w:sz w:val="18"/>
      <w:szCs w:val="18"/>
    </w:rPr>
  </w:style>
  <w:style w:type="character" w:customStyle="1" w:styleId="17">
    <w:name w:val="正文文本 字符"/>
    <w:basedOn w:val="13"/>
    <w:link w:val="5"/>
    <w:qFormat/>
    <w:uiPriority w:val="0"/>
    <w:rPr>
      <w:rFonts w:ascii="Calibri" w:hAnsi="Calibri" w:eastAsia="仿宋_GB2312" w:cs="Times New Roman"/>
      <w:sz w:val="24"/>
    </w:rPr>
  </w:style>
  <w:style w:type="character" w:customStyle="1" w:styleId="18">
    <w:name w:val="页眉 字符"/>
    <w:basedOn w:val="13"/>
    <w:link w:val="10"/>
    <w:uiPriority w:val="99"/>
    <w:rPr>
      <w:sz w:val="18"/>
      <w:szCs w:val="18"/>
    </w:rPr>
  </w:style>
  <w:style w:type="character" w:customStyle="1" w:styleId="19">
    <w:name w:val="页脚 字符"/>
    <w:basedOn w:val="13"/>
    <w:link w:val="9"/>
    <w:qFormat/>
    <w:uiPriority w:val="99"/>
    <w:rPr>
      <w:sz w:val="18"/>
      <w:szCs w:val="18"/>
    </w:rPr>
  </w:style>
  <w:style w:type="character" w:customStyle="1" w:styleId="20">
    <w:name w:val="日期 字符"/>
    <w:basedOn w:val="13"/>
    <w:link w:val="7"/>
    <w:qFormat/>
    <w:uiPriority w:val="0"/>
    <w:rPr>
      <w:szCs w:val="24"/>
    </w:rPr>
  </w:style>
  <w:style w:type="character" w:customStyle="1" w:styleId="21">
    <w:name w:val="正文文本缩进 字符"/>
    <w:basedOn w:val="13"/>
    <w:link w:val="6"/>
    <w:semiHidden/>
    <w:qFormat/>
    <w:uiPriority w:val="99"/>
  </w:style>
  <w:style w:type="paragraph" w:customStyle="1" w:styleId="22">
    <w:name w:val="Plain Text1"/>
    <w:basedOn w:val="1"/>
    <w:uiPriority w:val="0"/>
    <w:pPr>
      <w:adjustRightInd w:val="0"/>
      <w:textAlignment w:val="baseline"/>
    </w:pPr>
    <w:rPr>
      <w:rFonts w:ascii="宋体" w:hAnsi="Courier New" w:eastAsia="仿宋_GB2312" w:cs="Times New Roman"/>
      <w:sz w:val="32"/>
      <w:szCs w:val="20"/>
    </w:rPr>
  </w:style>
  <w:style w:type="character" w:customStyle="1" w:styleId="23">
    <w:name w:val="纯文本 字符"/>
    <w:basedOn w:val="13"/>
    <w:qFormat/>
    <w:uiPriority w:val="0"/>
    <w:rPr>
      <w:rFonts w:ascii="宋体" w:hAnsi="Courier New" w:eastAsia="仿宋_GB2312" w:cs="Times New Roman"/>
      <w:sz w:val="32"/>
      <w:szCs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32</Pages>
  <Words>2805</Words>
  <Characters>15989</Characters>
  <Lines>133</Lines>
  <Paragraphs>37</Paragraphs>
  <TotalTime>2</TotalTime>
  <ScaleCrop>false</ScaleCrop>
  <LinksUpToDate>false</LinksUpToDate>
  <CharactersWithSpaces>18757</CharactersWithSpaces>
  <Application>WPS Office_11.8.2.8555_F1E327BC-269C-435d-A152-05C5408002CA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2021-05-19T07:46:00Z</dcterms:created>
  <dc:creator>VC1052</dc:creator>
  <cp:lastModifiedBy>晴，若雨</cp:lastModifiedBy>
  <dcterms:modified xsi:type="dcterms:W3CDTF">2021-07-12T08:52:24Z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2052-11.8.2.8555</vt:lpwstr>
  </property>
</Properties>
</file>