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20" w:lineRule="exact"/>
        <w:jc w:val="both"/>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报价文件格式</w:t>
      </w:r>
    </w:p>
    <w:p>
      <w:pPr>
        <w:spacing w:before="480"/>
        <w:jc w:val="center"/>
        <w:rPr>
          <w:rFonts w:ascii="宋体" w:hAnsi="宋体" w:cs="宋体"/>
          <w:b/>
          <w:color w:val="auto"/>
          <w:sz w:val="32"/>
          <w:szCs w:val="32"/>
          <w:highlight w:val="none"/>
        </w:rPr>
      </w:pPr>
      <w:r>
        <w:rPr>
          <w:rFonts w:hint="eastAsia" w:ascii="宋体" w:hAnsi="宋体" w:cs="宋体"/>
          <w:b/>
          <w:color w:val="auto"/>
          <w:sz w:val="32"/>
          <w:szCs w:val="32"/>
          <w:highlight w:val="none"/>
        </w:rPr>
        <w:t>广西北投环保水务集团有限公司</w:t>
      </w:r>
    </w:p>
    <w:p>
      <w:pPr>
        <w:pStyle w:val="2"/>
        <w:rPr>
          <w:rFonts w:hint="eastAsia"/>
          <w:color w:val="auto"/>
          <w:highlight w:val="none"/>
        </w:rPr>
      </w:pPr>
    </w:p>
    <w:p>
      <w:pPr>
        <w:rPr>
          <w:rFonts w:hint="eastAsia"/>
          <w:color w:val="auto"/>
          <w:highlight w:val="none"/>
        </w:rPr>
      </w:pPr>
    </w:p>
    <w:p>
      <w:pPr>
        <w:jc w:val="center"/>
        <w:rPr>
          <w:rFonts w:hint="eastAsia" w:ascii="宋体" w:hAnsi="宋体" w:eastAsia="Calibri" w:cs="宋体"/>
          <w:b/>
          <w:color w:val="auto"/>
          <w:sz w:val="32"/>
          <w:szCs w:val="32"/>
          <w:highlight w:val="none"/>
        </w:rPr>
      </w:pPr>
      <w:r>
        <w:rPr>
          <w:rFonts w:hint="eastAsia" w:ascii="宋体" w:hAnsi="宋体"/>
          <w:b/>
          <w:color w:val="auto"/>
          <w:kern w:val="0"/>
          <w:sz w:val="44"/>
          <w:szCs w:val="44"/>
          <w:highlight w:val="none"/>
        </w:rPr>
        <w:t>北海市备用（第二）水源建设工程PPP项目第</w:t>
      </w:r>
      <w:r>
        <w:rPr>
          <w:rFonts w:hint="eastAsia" w:ascii="宋体" w:hAnsi="宋体"/>
          <w:b/>
          <w:color w:val="auto"/>
          <w:kern w:val="0"/>
          <w:sz w:val="44"/>
          <w:szCs w:val="44"/>
          <w:highlight w:val="none"/>
          <w:u w:val="single"/>
        </w:rPr>
        <w:t xml:space="preserve">   </w:t>
      </w:r>
      <w:r>
        <w:rPr>
          <w:rFonts w:hint="eastAsia" w:ascii="宋体" w:hAnsi="宋体"/>
          <w:b/>
          <w:color w:val="auto"/>
          <w:kern w:val="0"/>
          <w:sz w:val="44"/>
          <w:szCs w:val="44"/>
          <w:highlight w:val="none"/>
        </w:rPr>
        <w:t>工区劳务协作</w:t>
      </w:r>
    </w:p>
    <w:p>
      <w:pPr>
        <w:pStyle w:val="2"/>
        <w:rPr>
          <w:rFonts w:hint="eastAsia"/>
          <w:bCs w:val="0"/>
          <w:color w:val="auto"/>
          <w:highlight w:val="none"/>
        </w:rPr>
      </w:pPr>
    </w:p>
    <w:p>
      <w:pPr>
        <w:spacing w:before="480"/>
        <w:jc w:val="center"/>
        <w:rPr>
          <w:rFonts w:ascii="黑体" w:eastAsia="黑体"/>
          <w:b/>
          <w:color w:val="auto"/>
          <w:spacing w:val="20"/>
          <w:sz w:val="52"/>
          <w:szCs w:val="52"/>
          <w:highlight w:val="none"/>
        </w:rPr>
      </w:pPr>
      <w:r>
        <w:rPr>
          <w:rFonts w:hint="eastAsia" w:ascii="黑体" w:eastAsia="黑体"/>
          <w:b/>
          <w:color w:val="auto"/>
          <w:spacing w:val="20"/>
          <w:sz w:val="52"/>
          <w:szCs w:val="52"/>
          <w:highlight w:val="none"/>
        </w:rPr>
        <w:t>响 应 文 件</w:t>
      </w:r>
    </w:p>
    <w:p>
      <w:pPr>
        <w:pStyle w:val="6"/>
        <w:snapToGrid w:val="0"/>
        <w:spacing w:before="120" w:after="120"/>
        <w:jc w:val="center"/>
        <w:outlineLvl w:val="0"/>
        <w:rPr>
          <w:b/>
          <w:color w:val="auto"/>
          <w:highlight w:val="none"/>
        </w:rPr>
      </w:pPr>
    </w:p>
    <w:p>
      <w:pPr>
        <w:pStyle w:val="6"/>
        <w:snapToGrid w:val="0"/>
        <w:spacing w:before="120" w:after="120"/>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采购选取项目编号：BTHS2023-LWXZ-001</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rFonts w:hint="eastAsia"/>
          <w:color w:val="auto"/>
          <w:highlight w:val="none"/>
        </w:rPr>
      </w:pPr>
    </w:p>
    <w:p>
      <w:pPr>
        <w:rPr>
          <w:color w:val="auto"/>
          <w:highlight w:val="none"/>
        </w:rPr>
      </w:pPr>
    </w:p>
    <w:p>
      <w:pPr>
        <w:snapToGrid w:val="0"/>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报价单位：</w:t>
      </w:r>
    </w:p>
    <w:p>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t>法定代表人或其授权人：</w:t>
      </w:r>
      <w:r>
        <w:rPr>
          <w:rFonts w:ascii="宋体" w:hAnsi="宋体"/>
          <w:b/>
          <w:color w:val="auto"/>
          <w:sz w:val="32"/>
          <w:szCs w:val="32"/>
          <w:highlight w:val="none"/>
        </w:rPr>
        <w:t xml:space="preserve"> </w:t>
      </w:r>
    </w:p>
    <w:p>
      <w:pPr>
        <w:pStyle w:val="6"/>
        <w:snapToGrid w:val="0"/>
        <w:spacing w:before="120" w:after="120" w:line="360" w:lineRule="auto"/>
        <w:jc w:val="left"/>
        <w:rPr>
          <w:rFonts w:ascii="宋体" w:hAnsi="宋体"/>
          <w:b/>
          <w:color w:val="auto"/>
          <w:sz w:val="32"/>
          <w:szCs w:val="32"/>
          <w:highlight w:val="none"/>
        </w:rPr>
      </w:pPr>
      <w:r>
        <w:rPr>
          <w:rFonts w:hint="eastAsia" w:ascii="宋体" w:hAnsi="宋体"/>
          <w:b/>
          <w:color w:val="auto"/>
          <w:sz w:val="32"/>
          <w:szCs w:val="32"/>
          <w:highlight w:val="none"/>
        </w:rPr>
        <w:t>日期：    年    月    日</w:t>
      </w:r>
    </w:p>
    <w:p>
      <w:pPr>
        <w:pStyle w:val="13"/>
        <w:spacing w:line="240" w:lineRule="auto"/>
        <w:jc w:val="left"/>
        <w:rPr>
          <w:rFonts w:hint="eastAsia" w:ascii="黑体" w:eastAsia="黑体"/>
          <w:b/>
          <w:bCs/>
          <w:color w:val="auto"/>
          <w:sz w:val="28"/>
          <w:highlight w:val="none"/>
        </w:rPr>
      </w:pPr>
    </w:p>
    <w:p>
      <w:pPr>
        <w:pStyle w:val="9"/>
        <w:ind w:firstLine="2875" w:firstLineChars="895"/>
        <w:rPr>
          <w:rFonts w:hint="eastAsia" w:ascii="宋体" w:hAnsi="宋体"/>
          <w:b/>
          <w:color w:val="auto"/>
          <w:sz w:val="32"/>
          <w:szCs w:val="32"/>
          <w:highlight w:val="none"/>
        </w:rPr>
      </w:pPr>
    </w:p>
    <w:p>
      <w:pPr>
        <w:pStyle w:val="9"/>
        <w:ind w:firstLine="2875" w:firstLineChars="895"/>
        <w:rPr>
          <w:rFonts w:hint="eastAsia" w:ascii="宋体" w:hAnsi="宋体"/>
          <w:b/>
          <w:color w:val="auto"/>
          <w:sz w:val="32"/>
          <w:szCs w:val="32"/>
          <w:highlight w:val="none"/>
        </w:rPr>
        <w:sectPr>
          <w:pgSz w:w="11906" w:h="16838"/>
          <w:pgMar w:top="1134" w:right="1247" w:bottom="1134" w:left="1247" w:header="851" w:footer="737" w:gutter="0"/>
          <w:cols w:space="720" w:num="1"/>
          <w:docGrid w:linePitch="312" w:charSpace="0"/>
        </w:sectPr>
      </w:pPr>
    </w:p>
    <w:p>
      <w:pPr>
        <w:pStyle w:val="9"/>
        <w:ind w:firstLine="2875" w:firstLineChars="895"/>
        <w:rPr>
          <w:rFonts w:ascii="宋体" w:hAnsi="宋体"/>
          <w:b/>
          <w:color w:val="auto"/>
          <w:sz w:val="32"/>
          <w:szCs w:val="32"/>
          <w:highlight w:val="none"/>
        </w:rPr>
      </w:pPr>
      <w:r>
        <w:rPr>
          <w:rFonts w:hint="eastAsia" w:ascii="宋体" w:hAnsi="宋体"/>
          <w:b/>
          <w:color w:val="auto"/>
          <w:sz w:val="32"/>
          <w:szCs w:val="32"/>
          <w:highlight w:val="none"/>
        </w:rPr>
        <w:t>目录</w:t>
      </w:r>
    </w:p>
    <w:p>
      <w:pPr>
        <w:rPr>
          <w:rFonts w:ascii="宋体" w:hAnsi="宋体"/>
          <w:color w:val="auto"/>
          <w:highlight w:val="none"/>
        </w:rPr>
      </w:pPr>
    </w:p>
    <w:p>
      <w:pPr>
        <w:rPr>
          <w:rFonts w:ascii="宋体" w:hAnsi="宋体" w:cs="宋体"/>
          <w:b/>
          <w:color w:val="auto"/>
          <w:sz w:val="32"/>
          <w:highlight w:val="none"/>
        </w:rPr>
      </w:pP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报价承诺书</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报价书</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报价书附录</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授权委托书</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报价保证金</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报价书附表格式</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专用条款</w:t>
      </w:r>
    </w:p>
    <w:p>
      <w:pPr>
        <w:numPr>
          <w:ilvl w:val="0"/>
          <w:numId w:val="1"/>
        </w:numPr>
        <w:spacing w:line="360" w:lineRule="auto"/>
        <w:rPr>
          <w:rFonts w:ascii="宋体" w:hAnsi="宋体" w:cs="宋体"/>
          <w:color w:val="auto"/>
          <w:sz w:val="32"/>
          <w:highlight w:val="none"/>
        </w:rPr>
      </w:pPr>
      <w:r>
        <w:rPr>
          <w:rFonts w:hint="eastAsia" w:ascii="宋体" w:hAnsi="宋体" w:cs="宋体"/>
          <w:color w:val="auto"/>
          <w:sz w:val="32"/>
          <w:highlight w:val="none"/>
        </w:rPr>
        <w:t>报价工程量清单</w:t>
      </w:r>
    </w:p>
    <w:p>
      <w:pPr>
        <w:spacing w:line="360" w:lineRule="auto"/>
        <w:rPr>
          <w:rFonts w:hint="eastAsia" w:ascii="宋体" w:hAnsi="宋体" w:eastAsia="宋体" w:cs="宋体"/>
          <w:color w:val="auto"/>
          <w:sz w:val="32"/>
          <w:highlight w:val="none"/>
          <w:lang w:eastAsia="zh-CN"/>
        </w:rPr>
      </w:pPr>
      <w:r>
        <w:rPr>
          <w:rFonts w:hint="eastAsia" w:ascii="宋体" w:hAnsi="宋体" w:cs="宋体"/>
          <w:color w:val="auto"/>
          <w:sz w:val="32"/>
          <w:highlight w:val="none"/>
        </w:rPr>
        <w:t>第九章技术方案</w:t>
      </w:r>
      <w:r>
        <w:rPr>
          <w:rFonts w:hint="eastAsia" w:ascii="宋体" w:hAnsi="宋体" w:cs="宋体"/>
          <w:color w:val="auto"/>
          <w:sz w:val="32"/>
          <w:highlight w:val="none"/>
          <w:lang w:eastAsia="zh-CN"/>
        </w:rPr>
        <w:t>（</w:t>
      </w:r>
      <w:r>
        <w:rPr>
          <w:rFonts w:hint="eastAsia" w:ascii="宋体" w:hAnsi="宋体" w:cs="宋体"/>
          <w:color w:val="auto"/>
          <w:sz w:val="32"/>
          <w:highlight w:val="none"/>
          <w:lang w:val="en-US" w:eastAsia="zh-CN"/>
        </w:rPr>
        <w:t>格式自拟</w:t>
      </w:r>
      <w:r>
        <w:rPr>
          <w:rFonts w:hint="eastAsia" w:ascii="宋体" w:hAnsi="宋体" w:cs="宋体"/>
          <w:color w:val="auto"/>
          <w:sz w:val="32"/>
          <w:highlight w:val="none"/>
          <w:lang w:eastAsia="zh-CN"/>
        </w:rPr>
        <w:t>）</w:t>
      </w: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pStyle w:val="13"/>
        <w:spacing w:line="240" w:lineRule="auto"/>
        <w:rPr>
          <w:rFonts w:hint="eastAsia" w:ascii="黑体" w:eastAsia="黑体"/>
          <w:b/>
          <w:bCs/>
          <w:color w:val="auto"/>
          <w:sz w:val="28"/>
          <w:highlight w:val="none"/>
        </w:rPr>
      </w:pPr>
    </w:p>
    <w:p>
      <w:pPr>
        <w:tabs>
          <w:tab w:val="right" w:leader="hyphen" w:pos="8400"/>
        </w:tabs>
        <w:adjustRightInd w:val="0"/>
        <w:snapToGrid w:val="0"/>
        <w:spacing w:line="300" w:lineRule="exact"/>
        <w:jc w:val="center"/>
        <w:rPr>
          <w:rFonts w:hint="eastAsia" w:ascii="宋体" w:hAnsi="宋体"/>
          <w:b/>
          <w:bCs/>
          <w:color w:val="auto"/>
          <w:sz w:val="24"/>
          <w:highlight w:val="none"/>
        </w:rPr>
        <w:sectPr>
          <w:footerReference r:id="rId5" w:type="default"/>
          <w:pgSz w:w="11906" w:h="16838"/>
          <w:pgMar w:top="1134" w:right="1247" w:bottom="1134" w:left="1247" w:header="851" w:footer="737" w:gutter="0"/>
          <w:pgNumType w:start="1"/>
          <w:cols w:space="720" w:num="1"/>
          <w:docGrid w:linePitch="312" w:charSpace="0"/>
        </w:sectPr>
      </w:pPr>
    </w:p>
    <w:p>
      <w:pPr>
        <w:tabs>
          <w:tab w:val="right" w:leader="hyphen" w:pos="8400"/>
        </w:tabs>
        <w:adjustRightInd w:val="0"/>
        <w:snapToGrid w:val="0"/>
        <w:spacing w:line="300" w:lineRule="exact"/>
        <w:jc w:val="center"/>
        <w:rPr>
          <w:rFonts w:ascii="宋体" w:hAnsi="宋体"/>
          <w:b/>
          <w:bCs/>
          <w:color w:val="auto"/>
          <w:sz w:val="24"/>
          <w:highlight w:val="none"/>
        </w:rPr>
      </w:pPr>
      <w:r>
        <w:rPr>
          <w:rFonts w:hint="eastAsia" w:ascii="宋体" w:hAnsi="宋体"/>
          <w:b/>
          <w:bCs/>
          <w:color w:val="auto"/>
          <w:sz w:val="24"/>
          <w:highlight w:val="none"/>
        </w:rPr>
        <w:t>第一章  报价承诺书</w:t>
      </w:r>
    </w:p>
    <w:p>
      <w:pPr>
        <w:pStyle w:val="2"/>
        <w:spacing w:before="0" w:after="0" w:line="300" w:lineRule="exact"/>
        <w:rPr>
          <w:rFonts w:hint="eastAsia"/>
          <w:color w:val="auto"/>
          <w:highlight w:val="none"/>
        </w:rPr>
      </w:pPr>
    </w:p>
    <w:p>
      <w:pPr>
        <w:spacing w:line="300" w:lineRule="exact"/>
        <w:rPr>
          <w:rFonts w:hint="eastAsia" w:ascii="宋体" w:hAnsi="宋体"/>
          <w:bCs/>
          <w:color w:val="auto"/>
          <w:sz w:val="24"/>
          <w:szCs w:val="24"/>
          <w:highlight w:val="none"/>
        </w:rPr>
      </w:pPr>
      <w:r>
        <w:rPr>
          <w:rFonts w:hint="eastAsia" w:ascii="宋体" w:hAnsi="宋体"/>
          <w:bCs/>
          <w:color w:val="auto"/>
          <w:sz w:val="24"/>
          <w:szCs w:val="24"/>
          <w:highlight w:val="none"/>
        </w:rPr>
        <w:t>致：广西北投环保水务集团有限公司</w:t>
      </w:r>
    </w:p>
    <w:p>
      <w:pPr>
        <w:spacing w:line="3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1、本人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（法定代表人，身份证号码</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）郑重声明：本人（或公司）参加</w:t>
      </w:r>
      <w:r>
        <w:rPr>
          <w:rFonts w:hint="eastAsia" w:ascii="宋体" w:hAnsi="宋体"/>
          <w:bCs/>
          <w:color w:val="auto"/>
          <w:sz w:val="24"/>
          <w:szCs w:val="24"/>
          <w:highlight w:val="none"/>
          <w:u w:val="single"/>
        </w:rPr>
        <w:t>广西北投环保水务集团有限公司北海市备用（第二）水源建设工程PPP项目第   工区劳务协作投标</w:t>
      </w:r>
      <w:r>
        <w:rPr>
          <w:rFonts w:hint="eastAsia" w:ascii="宋体" w:hAnsi="宋体"/>
          <w:bCs/>
          <w:color w:val="auto"/>
          <w:sz w:val="24"/>
          <w:szCs w:val="24"/>
          <w:highlight w:val="none"/>
        </w:rPr>
        <w:t>资料填写数据及所包含的附件资料内容是真实的、合法的、有效的，并愿意对在投标过程中有关部门的调查结果承担责任。</w:t>
      </w:r>
    </w:p>
    <w:p>
      <w:pPr>
        <w:spacing w:line="30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2、本人（或公司）参加本次工程项目采购活动是自愿的，完全理解采购人</w:t>
      </w:r>
      <w:r>
        <w:rPr>
          <w:rFonts w:hint="eastAsia" w:ascii="宋体" w:hAnsi="宋体"/>
          <w:color w:val="auto"/>
          <w:sz w:val="24"/>
          <w:szCs w:val="24"/>
          <w:highlight w:val="none"/>
        </w:rPr>
        <w:t>在整个劳务采购活动中的程序和流程是按照采购人的制度章程规定进行的，对采购人在过程中的决议和决策表示充分理解，并承诺不管成交与否均不以任何理由要求采购人作任何解释。</w:t>
      </w:r>
    </w:p>
    <w:p>
      <w:pPr>
        <w:spacing w:line="3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、本人公司在本次工程项目劳务</w:t>
      </w:r>
      <w:r>
        <w:rPr>
          <w:rFonts w:hint="eastAsia" w:ascii="宋体" w:hAnsi="宋体"/>
          <w:color w:val="auto"/>
          <w:sz w:val="24"/>
          <w:szCs w:val="24"/>
          <w:highlight w:val="none"/>
          <w:lang w:val="en-US" w:eastAsia="zh-CN"/>
        </w:rPr>
        <w:t>协作采购选取</w:t>
      </w:r>
      <w:r>
        <w:rPr>
          <w:rFonts w:hint="eastAsia" w:ascii="宋体" w:hAnsi="宋体"/>
          <w:color w:val="auto"/>
          <w:sz w:val="24"/>
          <w:szCs w:val="24"/>
          <w:highlight w:val="none"/>
        </w:rPr>
        <w:t>递交报价文件截止时间</w:t>
      </w:r>
      <w:r>
        <w:rPr>
          <w:rFonts w:hint="eastAsia" w:ascii="宋体" w:hAnsi="宋体"/>
          <w:color w:val="auto"/>
          <w:sz w:val="24"/>
          <w:szCs w:val="24"/>
          <w:highlight w:val="none"/>
          <w:u w:val="single"/>
        </w:rPr>
        <w:t>2023</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rPr>
        <w:t>月</w:t>
      </w:r>
      <w:r>
        <w:rPr>
          <w:rFonts w:hint="eastAsia" w:ascii="宋体" w:hAnsi="宋体"/>
          <w:color w:val="auto"/>
          <w:sz w:val="24"/>
          <w:szCs w:val="24"/>
          <w:highlight w:val="none"/>
          <w:u w:val="single"/>
        </w:rPr>
        <w:t>**</w:t>
      </w:r>
      <w:r>
        <w:rPr>
          <w:rFonts w:hint="eastAsia" w:ascii="宋体" w:hAnsi="宋体"/>
          <w:color w:val="auto"/>
          <w:sz w:val="24"/>
          <w:szCs w:val="24"/>
          <w:highlight w:val="none"/>
        </w:rPr>
        <w:t>日前所承建的工程项目，不存在拖欠或克扣农民工工资的行为。</w:t>
      </w:r>
    </w:p>
    <w:p>
      <w:pPr>
        <w:spacing w:line="300" w:lineRule="exact"/>
        <w:ind w:firstLine="480" w:firstLineChars="200"/>
        <w:rPr>
          <w:color w:val="auto"/>
          <w:highlight w:val="none"/>
        </w:rPr>
      </w:pPr>
      <w:r>
        <w:rPr>
          <w:rFonts w:hint="eastAsia" w:ascii="宋体" w:hAnsi="宋体"/>
          <w:color w:val="auto"/>
          <w:sz w:val="24"/>
          <w:szCs w:val="24"/>
          <w:highlight w:val="none"/>
        </w:rPr>
        <w:t>4、本人</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rPr>
        <w:t>的劳务单价是在充分理解贵公司的采购选取规则、考虑全部成本和风险以及应得利益的前提下经分析测算后的最终报价，本人承诺一旦在贵公司成交，无论在贵公司承接的工程量和工程性质发生任何变化，任何工程细目的报价单价均不做调整。</w:t>
      </w:r>
    </w:p>
    <w:p>
      <w:pPr>
        <w:spacing w:line="3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5、本人充分理解报价单价与贵公司和业主方《工程细目清单》单价的差额，是贵公司项目管理、投入成本所应得的利益以及其它亏损工程的补偿，并承诺放弃任何形式分配以上差额的权利。</w:t>
      </w:r>
    </w:p>
    <w:p>
      <w:pPr>
        <w:spacing w:line="3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6、本人承诺一旦成交，与贵公司签订的合同文件任何条款均是本人真实意愿的表述，本人认为任何合同条款均真实有效。</w:t>
      </w:r>
    </w:p>
    <w:p>
      <w:pPr>
        <w:spacing w:line="3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7、本人未施工的工程，无论贵公司是否得到业主方计价均与本人无关，本人承诺不以任何理由和形式向贵公司索要相关工程款。</w:t>
      </w:r>
    </w:p>
    <w:p>
      <w:pPr>
        <w:spacing w:line="3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8、如本人（或公司）成交，同意以下条款和规定：</w:t>
      </w:r>
    </w:p>
    <w:p>
      <w:pPr>
        <w:spacing w:line="3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①严格执行采购人对项目的整体施工组织策划方案，任何工程新技术新工艺的采用、施工方案以及变更方案的实施等均须得到采购人同意，否则无论效果如何采购人均有权不结算此项工程款给成交人。</w:t>
      </w:r>
    </w:p>
    <w:p>
      <w:pPr>
        <w:spacing w:line="3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②保证成交的所有工程均保质保量全部完成，如中途退场或部分工程不施工或不按进度要求施工，则采购人有权只结算支付已完合格工程款的20%，其余80%作为成交人的违约金不再支付。</w:t>
      </w:r>
    </w:p>
    <w:p>
      <w:pPr>
        <w:spacing w:line="30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③成交人已在报价中充分考虑了临时用地、便道征地费用以及复耕费用，如成交工程完成前未对临时用地进行复耕或复耕达不到要求，采购人有权按每亩肆万元从成交人工程结算款和履约保证金中扣除。</w:t>
      </w:r>
    </w:p>
    <w:p>
      <w:pPr>
        <w:spacing w:line="30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④本人（或公司）在项目实施时，同意由采购人项目部暂时扣除每月结算工程款的2%转为农民工工资保证金。</w:t>
      </w:r>
    </w:p>
    <w:p>
      <w:pPr>
        <w:spacing w:line="30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⑤本人（或公司）向采购人承诺依法足额支付农民工工资，一旦本人（或公司）承建的</w:t>
      </w:r>
      <w:r>
        <w:rPr>
          <w:rFonts w:hint="eastAsia" w:ascii="宋体" w:hAnsi="宋体"/>
          <w:color w:val="auto"/>
          <w:sz w:val="24"/>
          <w:szCs w:val="24"/>
          <w:highlight w:val="none"/>
          <w:u w:val="single"/>
        </w:rPr>
        <w:t>广西北投环保水务集团有限公司北海市备用（第二）水源建设工程PPP项目第   工区</w:t>
      </w:r>
      <w:r>
        <w:rPr>
          <w:rFonts w:hint="eastAsia" w:ascii="宋体" w:hAnsi="宋体"/>
          <w:color w:val="auto"/>
          <w:sz w:val="24"/>
          <w:szCs w:val="24"/>
          <w:highlight w:val="none"/>
        </w:rPr>
        <w:t>项目出现拖欠农民工工资情况时，可由劳动保障部门、建设主管部门（或授权机构）及采购人项目部根据相关规定从履约保证金中先予支取，仍不足的从结算工程款中予以扣除。</w:t>
      </w:r>
    </w:p>
    <w:p>
      <w:pPr>
        <w:spacing w:line="30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特此承诺。</w:t>
      </w:r>
    </w:p>
    <w:p>
      <w:pPr>
        <w:spacing w:line="300" w:lineRule="exact"/>
        <w:ind w:firstLine="4080" w:firstLineChars="1700"/>
        <w:rPr>
          <w:rFonts w:ascii="宋体" w:hAnsi="宋体"/>
          <w:color w:val="auto"/>
          <w:sz w:val="24"/>
          <w:szCs w:val="24"/>
          <w:highlight w:val="none"/>
        </w:rPr>
      </w:pPr>
    </w:p>
    <w:p>
      <w:pPr>
        <w:spacing w:line="300" w:lineRule="exact"/>
        <w:rPr>
          <w:rFonts w:ascii="宋体" w:hAnsi="宋体"/>
          <w:color w:val="auto"/>
          <w:sz w:val="24"/>
          <w:szCs w:val="24"/>
          <w:highlight w:val="none"/>
        </w:rPr>
      </w:pPr>
    </w:p>
    <w:p>
      <w:pPr>
        <w:spacing w:line="300" w:lineRule="exact"/>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300" w:lineRule="exact"/>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pacing w:line="300" w:lineRule="exact"/>
        <w:ind w:firstLine="3840" w:firstLineChars="16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tabs>
          <w:tab w:val="right" w:leader="hyphen" w:pos="8400"/>
        </w:tabs>
        <w:adjustRightInd w:val="0"/>
        <w:snapToGrid w:val="0"/>
        <w:rPr>
          <w:rFonts w:ascii="宋体" w:hAnsi="宋体"/>
          <w:b/>
          <w:bCs/>
          <w:color w:val="auto"/>
          <w:sz w:val="24"/>
          <w:highlight w:val="none"/>
        </w:rPr>
      </w:pPr>
      <w:r>
        <w:rPr>
          <w:rFonts w:ascii="宋体" w:hAnsi="宋体"/>
          <w:b/>
          <w:bCs/>
          <w:color w:val="auto"/>
          <w:sz w:val="24"/>
          <w:highlight w:val="none"/>
        </w:rPr>
        <w:br w:type="page"/>
      </w:r>
    </w:p>
    <w:p>
      <w:pPr>
        <w:tabs>
          <w:tab w:val="right" w:leader="hyphen" w:pos="8400"/>
        </w:tabs>
        <w:adjustRightInd w:val="0"/>
        <w:snapToGrid w:val="0"/>
        <w:jc w:val="center"/>
        <w:rPr>
          <w:rFonts w:hint="eastAsia" w:ascii="宋体" w:hAnsi="宋体"/>
          <w:b/>
          <w:bCs/>
          <w:color w:val="auto"/>
          <w:sz w:val="24"/>
          <w:highlight w:val="none"/>
        </w:rPr>
      </w:pPr>
      <w:r>
        <w:rPr>
          <w:rFonts w:hint="eastAsia" w:ascii="宋体" w:hAnsi="宋体"/>
          <w:b/>
          <w:bCs/>
          <w:color w:val="auto"/>
          <w:sz w:val="24"/>
          <w:highlight w:val="none"/>
        </w:rPr>
        <w:t>第二章  报价书</w:t>
      </w:r>
    </w:p>
    <w:p>
      <w:pPr>
        <w:adjustRightInd w:val="0"/>
        <w:snapToGrid w:val="0"/>
        <w:spacing w:line="4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报 价</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pPr>
        <w:tabs>
          <w:tab w:val="left" w:pos="3780"/>
        </w:tabs>
        <w:adjustRightInd w:val="0"/>
        <w:snapToGrid w:val="0"/>
        <w:spacing w:line="480" w:lineRule="exact"/>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bCs/>
          <w:color w:val="auto"/>
          <w:sz w:val="24"/>
          <w:szCs w:val="24"/>
          <w:highlight w:val="none"/>
        </w:rPr>
        <w:t>广西北投环保水务集团有限公司</w:t>
      </w:r>
    </w:p>
    <w:p>
      <w:pPr>
        <w:tabs>
          <w:tab w:val="left" w:pos="3780"/>
        </w:tabs>
        <w:adjustRightInd w:val="0"/>
        <w:snapToGrid w:val="0"/>
        <w:spacing w:line="480" w:lineRule="exact"/>
        <w:ind w:firstLine="470" w:firstLineChars="196"/>
        <w:jc w:val="left"/>
        <w:rPr>
          <w:rFonts w:hint="eastAsia" w:ascii="宋体" w:hAnsi="宋体"/>
          <w:color w:val="auto"/>
          <w:sz w:val="24"/>
          <w:highlight w:val="none"/>
        </w:rPr>
      </w:pPr>
      <w:r>
        <w:rPr>
          <w:rFonts w:hint="eastAsia" w:ascii="宋体" w:hAnsi="宋体"/>
          <w:color w:val="auto"/>
          <w:sz w:val="24"/>
          <w:szCs w:val="24"/>
          <w:highlight w:val="none"/>
        </w:rPr>
        <w:t>1、在研究了</w:t>
      </w:r>
      <w:r>
        <w:rPr>
          <w:rFonts w:hint="eastAsia" w:ascii="宋体" w:hAnsi="宋体"/>
          <w:bCs/>
          <w:color w:val="auto"/>
          <w:sz w:val="24"/>
          <w:szCs w:val="24"/>
          <w:highlight w:val="none"/>
          <w:u w:val="single"/>
        </w:rPr>
        <w:t>北海市备用（第二）水源建设工程PPP项目第   工区</w:t>
      </w:r>
      <w:r>
        <w:rPr>
          <w:rFonts w:hint="eastAsia" w:ascii="宋体" w:hAnsi="宋体"/>
          <w:color w:val="auto"/>
          <w:sz w:val="24"/>
          <w:szCs w:val="24"/>
          <w:highlight w:val="none"/>
        </w:rPr>
        <w:t>的报价文件</w:t>
      </w:r>
      <w:r>
        <w:rPr>
          <w:rFonts w:ascii="宋体" w:hAnsi="宋体"/>
          <w:color w:val="auto"/>
          <w:sz w:val="24"/>
          <w:szCs w:val="24"/>
          <w:highlight w:val="none"/>
        </w:rPr>
        <w:t>(含补遗书)</w:t>
      </w:r>
      <w:r>
        <w:rPr>
          <w:rFonts w:hint="eastAsia" w:ascii="宋体" w:hAnsi="宋体"/>
          <w:color w:val="auto"/>
          <w:sz w:val="24"/>
          <w:szCs w:val="24"/>
          <w:highlight w:val="none"/>
        </w:rPr>
        <w:t>和考察了工程现场后</w:t>
      </w:r>
      <w:r>
        <w:rPr>
          <w:rFonts w:ascii="宋体" w:hAnsi="宋体"/>
          <w:color w:val="auto"/>
          <w:sz w:val="24"/>
          <w:szCs w:val="24"/>
          <w:highlight w:val="none"/>
        </w:rPr>
        <w:t>，我们愿意</w:t>
      </w:r>
      <w:r>
        <w:rPr>
          <w:rFonts w:hint="eastAsia" w:ascii="宋体" w:hAnsi="宋体"/>
          <w:color w:val="auto"/>
          <w:sz w:val="24"/>
          <w:szCs w:val="24"/>
          <w:highlight w:val="none"/>
        </w:rPr>
        <w:t>按照</w:t>
      </w:r>
      <w:r>
        <w:rPr>
          <w:rFonts w:hint="eastAsia" w:ascii="宋体" w:hAnsi="宋体"/>
          <w:color w:val="auto"/>
          <w:sz w:val="24"/>
          <w:highlight w:val="none"/>
        </w:rPr>
        <w:t>如下报价：</w:t>
      </w:r>
      <w:bookmarkStart w:id="0" w:name="_Hlk505007948"/>
    </w:p>
    <w:p>
      <w:pPr>
        <w:tabs>
          <w:tab w:val="left" w:pos="3780"/>
        </w:tabs>
        <w:adjustRightInd w:val="0"/>
        <w:snapToGrid w:val="0"/>
        <w:spacing w:line="480" w:lineRule="exact"/>
        <w:ind w:firstLine="470" w:firstLineChars="196"/>
        <w:jc w:val="left"/>
        <w:rPr>
          <w:rFonts w:hint="eastAsia" w:ascii="宋体" w:hAnsi="宋体"/>
          <w:color w:val="auto"/>
          <w:sz w:val="24"/>
          <w:highlight w:val="none"/>
        </w:rPr>
      </w:pPr>
      <w:r>
        <w:rPr>
          <w:rFonts w:hint="eastAsia" w:ascii="宋体" w:hAnsi="宋体"/>
          <w:color w:val="auto"/>
          <w:sz w:val="24"/>
          <w:szCs w:val="24"/>
          <w:highlight w:val="none"/>
          <w:u w:val="single"/>
        </w:rPr>
        <w:t xml:space="preserve">报价人民币（大写）        （¥： </w:t>
      </w:r>
      <w:r>
        <w:rPr>
          <w:rFonts w:ascii="宋体" w:hAnsi="宋体"/>
          <w:color w:val="auto"/>
          <w:sz w:val="24"/>
          <w:szCs w:val="24"/>
          <w:highlight w:val="none"/>
          <w:u w:val="single"/>
        </w:rPr>
        <w:t xml:space="preserve">     ）</w:t>
      </w:r>
      <w:bookmarkEnd w:id="0"/>
      <w:r>
        <w:rPr>
          <w:rFonts w:hint="eastAsia" w:ascii="宋体" w:hAnsi="宋体"/>
          <w:color w:val="auto"/>
          <w:sz w:val="24"/>
          <w:szCs w:val="24"/>
          <w:highlight w:val="none"/>
        </w:rPr>
        <w:t>（详见工程细目清单报价，</w:t>
      </w:r>
      <w:r>
        <w:rPr>
          <w:rFonts w:ascii="宋体" w:hAnsi="宋体"/>
          <w:color w:val="auto"/>
          <w:sz w:val="24"/>
          <w:szCs w:val="24"/>
          <w:highlight w:val="none"/>
        </w:rPr>
        <w:t>或根据</w:t>
      </w:r>
      <w:r>
        <w:rPr>
          <w:rFonts w:hint="eastAsia" w:ascii="宋体" w:hAnsi="宋体"/>
          <w:color w:val="auto"/>
          <w:sz w:val="24"/>
          <w:szCs w:val="24"/>
          <w:highlight w:val="none"/>
        </w:rPr>
        <w:t>报价文件规定修正</w:t>
      </w:r>
      <w:r>
        <w:rPr>
          <w:rFonts w:ascii="宋体" w:hAnsi="宋体"/>
          <w:color w:val="auto"/>
          <w:sz w:val="24"/>
          <w:szCs w:val="24"/>
          <w:highlight w:val="none"/>
        </w:rPr>
        <w:t>核实</w:t>
      </w:r>
      <w:r>
        <w:rPr>
          <w:rFonts w:hint="eastAsia" w:ascii="宋体" w:hAnsi="宋体"/>
          <w:color w:val="auto"/>
          <w:sz w:val="24"/>
          <w:szCs w:val="24"/>
          <w:highlight w:val="none"/>
        </w:rPr>
        <w:t>后</w:t>
      </w:r>
      <w:r>
        <w:rPr>
          <w:rFonts w:ascii="宋体" w:hAnsi="宋体"/>
          <w:color w:val="auto"/>
          <w:sz w:val="24"/>
          <w:szCs w:val="24"/>
          <w:highlight w:val="none"/>
        </w:rPr>
        <w:t>确定的另一金额</w:t>
      </w:r>
      <w:r>
        <w:rPr>
          <w:rFonts w:hint="eastAsia" w:ascii="宋体" w:hAnsi="宋体"/>
          <w:color w:val="auto"/>
          <w:sz w:val="24"/>
          <w:szCs w:val="24"/>
          <w:highlight w:val="none"/>
        </w:rPr>
        <w:t>）</w:t>
      </w:r>
      <w:r>
        <w:rPr>
          <w:rFonts w:ascii="宋体" w:hAnsi="宋体"/>
          <w:color w:val="auto"/>
          <w:sz w:val="24"/>
          <w:szCs w:val="24"/>
          <w:highlight w:val="none"/>
        </w:rPr>
        <w:t>，</w:t>
      </w:r>
      <w:r>
        <w:rPr>
          <w:rFonts w:hint="eastAsia" w:ascii="宋体" w:hAnsi="宋体"/>
          <w:color w:val="auto"/>
          <w:sz w:val="24"/>
          <w:szCs w:val="24"/>
          <w:highlight w:val="none"/>
        </w:rPr>
        <w:t>按劳务合同约定实施和完成本工程，并修补工程中的任何缺陷</w:t>
      </w:r>
      <w:r>
        <w:rPr>
          <w:rFonts w:ascii="宋体" w:hAnsi="宋体"/>
          <w:color w:val="auto"/>
          <w:sz w:val="24"/>
          <w:szCs w:val="24"/>
          <w:highlight w:val="none"/>
        </w:rPr>
        <w:t>。</w:t>
      </w:r>
    </w:p>
    <w:p>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2、如果你单位接受我们成交，我们将保证按照报价文件要求进场设备人员，并在成交通知书规定的期限内与你方签订劳务合同，以及在</w:t>
      </w:r>
      <w:r>
        <w:rPr>
          <w:rFonts w:hint="eastAsia" w:ascii="宋体" w:hAnsi="宋体"/>
          <w:color w:val="auto"/>
          <w:sz w:val="24"/>
          <w:szCs w:val="24"/>
          <w:highlight w:val="none"/>
          <w:u w:val="single"/>
        </w:rPr>
        <w:t>12个月</w:t>
      </w:r>
      <w:r>
        <w:rPr>
          <w:rFonts w:hint="eastAsia" w:ascii="宋体" w:hAnsi="宋体"/>
          <w:color w:val="auto"/>
          <w:sz w:val="24"/>
          <w:szCs w:val="24"/>
          <w:highlight w:val="none"/>
        </w:rPr>
        <w:t>的工期内完成本劳务合同工程，达到规定的要求，该工期从签订的劳务合同载明的第一天算起。</w:t>
      </w:r>
    </w:p>
    <w:p>
      <w:pPr>
        <w:tabs>
          <w:tab w:val="left" w:pos="4320"/>
        </w:tabs>
        <w:adjustRightInd w:val="0"/>
        <w:snapToGrid w:val="0"/>
        <w:spacing w:line="48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、如果你单位接受我们成交，我们将保证按照你单位认可的条件，以本报价书附件内写明的金额提交履约担保。</w:t>
      </w:r>
    </w:p>
    <w:p>
      <w:pPr>
        <w:tabs>
          <w:tab w:val="left" w:pos="4320"/>
        </w:tabs>
        <w:adjustRightInd w:val="0"/>
        <w:snapToGrid w:val="0"/>
        <w:spacing w:line="480" w:lineRule="exact"/>
        <w:ind w:firstLine="480" w:firstLineChars="200"/>
        <w:rPr>
          <w:rFonts w:hint="eastAsia" w:ascii="宋体" w:hAnsi="宋体"/>
          <w:bCs/>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、如果你单位接受我们成交，我们理解本合同是以细目单价结算为准的合同，并非成交总价包干的合同。</w:t>
      </w:r>
    </w:p>
    <w:p>
      <w:pPr>
        <w:tabs>
          <w:tab w:val="left" w:pos="4320"/>
        </w:tabs>
        <w:adjustRightInd w:val="0"/>
        <w:snapToGrid w:val="0"/>
        <w:spacing w:line="48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5</w:t>
      </w:r>
      <w:r>
        <w:rPr>
          <w:rFonts w:hint="eastAsia" w:ascii="宋体" w:hAnsi="宋体"/>
          <w:bCs/>
          <w:color w:val="auto"/>
          <w:sz w:val="24"/>
          <w:szCs w:val="24"/>
          <w:highlight w:val="none"/>
        </w:rPr>
        <w:t>、我们同意在从规定的开标之日起</w:t>
      </w:r>
      <w:r>
        <w:rPr>
          <w:rFonts w:hint="eastAsia" w:ascii="宋体" w:hAnsi="宋体"/>
          <w:bCs/>
          <w:color w:val="auto"/>
          <w:sz w:val="24"/>
          <w:szCs w:val="24"/>
          <w:highlight w:val="none"/>
          <w:u w:val="single"/>
        </w:rPr>
        <w:t>30</w:t>
      </w:r>
      <w:r>
        <w:rPr>
          <w:rFonts w:hint="eastAsia" w:ascii="宋体" w:hAnsi="宋体"/>
          <w:bCs/>
          <w:color w:val="auto"/>
          <w:sz w:val="24"/>
          <w:szCs w:val="24"/>
          <w:highlight w:val="none"/>
        </w:rPr>
        <w:t>天的报价书有效期内严格遵守本报价书的各项承诺。在此期限届满之前，本报价书始终将对我方具有约束力，并随时接受成交。</w:t>
      </w:r>
    </w:p>
    <w:p>
      <w:pPr>
        <w:tabs>
          <w:tab w:val="left" w:pos="4320"/>
        </w:tabs>
        <w:adjustRightInd w:val="0"/>
        <w:snapToGrid w:val="0"/>
        <w:spacing w:line="480" w:lineRule="exact"/>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6</w:t>
      </w:r>
      <w:r>
        <w:rPr>
          <w:rFonts w:hint="eastAsia" w:ascii="宋体" w:hAnsi="宋体"/>
          <w:bCs/>
          <w:color w:val="auto"/>
          <w:sz w:val="24"/>
          <w:szCs w:val="24"/>
          <w:highlight w:val="none"/>
        </w:rPr>
        <w:t>、在合同协议书正式签署生效之前，本报价书连同你单位发出的成交通知书将构成我们双方之间共同遵守的文件，对双方具有约束力。</w:t>
      </w:r>
    </w:p>
    <w:p>
      <w:pPr>
        <w:tabs>
          <w:tab w:val="left" w:pos="4320"/>
        </w:tabs>
        <w:adjustRightInd w:val="0"/>
        <w:snapToGrid w:val="0"/>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7、我们理解，你单位不一定接受最低标价的报价书或你单位接到的其它任何报价书。同时也理解，你单位不负担我们的任何投标费用。</w:t>
      </w:r>
    </w:p>
    <w:p>
      <w:pPr>
        <w:tabs>
          <w:tab w:val="left" w:pos="4320"/>
        </w:tabs>
        <w:adjustRightInd w:val="0"/>
        <w:snapToGrid w:val="0"/>
        <w:spacing w:line="480" w:lineRule="exact"/>
        <w:ind w:firstLine="480" w:firstLineChars="200"/>
        <w:rPr>
          <w:rFonts w:hint="eastAsia"/>
          <w:color w:val="auto"/>
          <w:highlight w:val="none"/>
        </w:rPr>
      </w:pPr>
      <w:r>
        <w:rPr>
          <w:rFonts w:hint="eastAsia" w:ascii="宋体" w:hAnsi="宋体"/>
          <w:bCs/>
          <w:color w:val="auto"/>
          <w:sz w:val="24"/>
          <w:szCs w:val="24"/>
          <w:highlight w:val="none"/>
        </w:rPr>
        <w:t>8、随同本报价书，我们出具人民币</w:t>
      </w:r>
      <w:r>
        <w:rPr>
          <w:rFonts w:hint="eastAsia" w:ascii="宋体" w:hAnsi="宋体"/>
          <w:b/>
          <w:color w:val="auto"/>
          <w:sz w:val="24"/>
          <w:szCs w:val="24"/>
          <w:highlight w:val="none"/>
          <w:u w:val="single"/>
        </w:rPr>
        <w:t>20万元</w:t>
      </w:r>
      <w:r>
        <w:rPr>
          <w:rFonts w:hint="eastAsia" w:ascii="宋体" w:hAnsi="宋体"/>
          <w:bCs/>
          <w:color w:val="auto"/>
          <w:sz w:val="24"/>
          <w:szCs w:val="24"/>
          <w:highlight w:val="none"/>
        </w:rPr>
        <w:t>的报价担保。如果我们在本报价书有效期内撤回报价书；或在接到成交通知书后30天内未能或拒绝签订合同协议书；或未能按照报价文件规定提交履约担保，你单位有权没收报价担保金，另选成交单位。</w:t>
      </w:r>
    </w:p>
    <w:p>
      <w:pPr>
        <w:spacing w:line="480" w:lineRule="exact"/>
        <w:rPr>
          <w:rFonts w:hint="eastAsia" w:ascii="宋体" w:hAnsi="宋体"/>
          <w:color w:val="auto"/>
          <w:highlight w:val="none"/>
        </w:rPr>
      </w:pPr>
      <w:r>
        <w:rPr>
          <w:rFonts w:hint="eastAsia" w:ascii="宋体" w:hAnsi="宋体"/>
          <w:color w:val="auto"/>
          <w:sz w:val="24"/>
          <w:szCs w:val="24"/>
          <w:highlight w:val="none"/>
        </w:rPr>
        <w:t>报价人地点：                     报价人：</w:t>
      </w:r>
      <w:r>
        <w:rPr>
          <w:rFonts w:hint="eastAsia" w:ascii="宋体" w:hAnsi="宋体"/>
          <w:color w:val="auto"/>
          <w:sz w:val="24"/>
          <w:szCs w:val="24"/>
          <w:highlight w:val="none"/>
          <w:u w:val="single"/>
        </w:rPr>
        <w:t xml:space="preserve">   　　　　　　   </w:t>
      </w:r>
      <w:r>
        <w:rPr>
          <w:rFonts w:hint="eastAsia" w:ascii="宋体" w:hAnsi="宋体"/>
          <w:color w:val="auto"/>
          <w:highlight w:val="none"/>
        </w:rPr>
        <w:t>（盖单位章）</w:t>
      </w:r>
    </w:p>
    <w:p>
      <w:pPr>
        <w:spacing w:line="480" w:lineRule="exact"/>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法定代表人或其授权的代理人：</w:t>
      </w:r>
      <w:r>
        <w:rPr>
          <w:rFonts w:hint="eastAsia" w:ascii="宋体" w:hAnsi="宋体"/>
          <w:color w:val="auto"/>
          <w:sz w:val="24"/>
          <w:szCs w:val="24"/>
          <w:highlight w:val="none"/>
          <w:u w:val="single"/>
        </w:rPr>
        <w:t xml:space="preserve">    </w:t>
      </w:r>
      <w:r>
        <w:rPr>
          <w:rFonts w:hint="eastAsia" w:ascii="宋体" w:hAnsi="宋体"/>
          <w:color w:val="auto"/>
          <w:highlight w:val="none"/>
        </w:rPr>
        <w:t>（签字或盖章）</w:t>
      </w:r>
    </w:p>
    <w:p>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身份证号码：      　  </w:t>
      </w:r>
    </w:p>
    <w:p>
      <w:pPr>
        <w:adjustRightInd w:val="0"/>
        <w:snapToGrid w:val="0"/>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djustRightInd w:val="0"/>
        <w:snapToGrid w:val="0"/>
        <w:spacing w:line="480" w:lineRule="exact"/>
        <w:rPr>
          <w:rFonts w:ascii="宋体" w:hAnsi="宋体"/>
          <w:color w:val="auto"/>
          <w:sz w:val="24"/>
          <w:szCs w:val="24"/>
          <w:highlight w:val="none"/>
          <w:u w:val="single"/>
        </w:rPr>
      </w:pPr>
    </w:p>
    <w:p>
      <w:pPr>
        <w:adjustRightInd w:val="0"/>
        <w:snapToGrid w:val="0"/>
        <w:spacing w:line="480" w:lineRule="exact"/>
        <w:rPr>
          <w:rFonts w:ascii="宋体" w:hAnsi="宋体"/>
          <w:color w:val="auto"/>
          <w:sz w:val="24"/>
          <w:szCs w:val="24"/>
          <w:highlight w:val="none"/>
          <w:u w:val="single"/>
        </w:rPr>
      </w:pPr>
    </w:p>
    <w:p>
      <w:pPr>
        <w:adjustRightInd w:val="0"/>
        <w:snapToGrid w:val="0"/>
        <w:spacing w:line="480" w:lineRule="exact"/>
        <w:rPr>
          <w:rFonts w:hint="eastAsia" w:ascii="宋体" w:hAnsi="宋体"/>
          <w:b/>
          <w:color w:val="auto"/>
          <w:sz w:val="24"/>
          <w:szCs w:val="24"/>
          <w:highlight w:val="none"/>
        </w:rPr>
      </w:pPr>
      <w:r>
        <w:rPr>
          <w:rFonts w:ascii="宋体" w:hAnsi="宋体"/>
          <w:color w:val="auto"/>
          <w:sz w:val="24"/>
          <w:szCs w:val="24"/>
          <w:highlight w:val="none"/>
          <w:u w:val="single"/>
        </w:rPr>
        <w:softHyphen/>
      </w:r>
    </w:p>
    <w:p>
      <w:pPr>
        <w:tabs>
          <w:tab w:val="right" w:leader="hyphen" w:pos="8400"/>
        </w:tabs>
        <w:adjustRightInd w:val="0"/>
        <w:snapToGrid w:val="0"/>
        <w:jc w:val="center"/>
        <w:rPr>
          <w:rFonts w:hint="eastAsia" w:ascii="宋体" w:hAnsi="宋体"/>
          <w:b/>
          <w:bCs/>
          <w:color w:val="auto"/>
          <w:sz w:val="24"/>
          <w:highlight w:val="none"/>
        </w:rPr>
      </w:pPr>
      <w:r>
        <w:rPr>
          <w:rFonts w:hint="eastAsia" w:ascii="宋体" w:hAnsi="宋体"/>
          <w:b/>
          <w:bCs/>
          <w:color w:val="auto"/>
          <w:sz w:val="24"/>
          <w:highlight w:val="none"/>
        </w:rPr>
        <w:t>第三章  报价书附录</w:t>
      </w:r>
    </w:p>
    <w:p>
      <w:pPr>
        <w:adjustRightInd w:val="0"/>
        <w:snapToGrid w:val="0"/>
        <w:jc w:val="center"/>
        <w:rPr>
          <w:rFonts w:hint="eastAsia" w:ascii="黑体" w:hAnsi="宋体" w:eastAsia="黑体"/>
          <w:b/>
          <w:color w:val="auto"/>
          <w:sz w:val="24"/>
          <w:highlight w:val="none"/>
        </w:rPr>
      </w:pPr>
    </w:p>
    <w:p>
      <w:pPr>
        <w:adjustRightInd w:val="0"/>
        <w:snapToGrid w:val="0"/>
        <w:jc w:val="center"/>
        <w:rPr>
          <w:rFonts w:hint="eastAsia" w:ascii="黑体" w:hAnsi="宋体" w:eastAsia="黑体"/>
          <w:b/>
          <w:color w:val="auto"/>
          <w:sz w:val="24"/>
          <w:highlight w:val="none"/>
        </w:rPr>
      </w:pPr>
      <w:r>
        <w:rPr>
          <w:rFonts w:hint="eastAsia" w:ascii="黑体" w:hAnsi="宋体" w:eastAsia="黑体"/>
          <w:b/>
          <w:color w:val="auto"/>
          <w:sz w:val="24"/>
          <w:highlight w:val="none"/>
        </w:rPr>
        <w:t>报 价 书</w:t>
      </w:r>
      <w:r>
        <w:rPr>
          <w:rFonts w:ascii="黑体" w:hAnsi="宋体" w:eastAsia="黑体"/>
          <w:b/>
          <w:color w:val="auto"/>
          <w:sz w:val="24"/>
          <w:highlight w:val="none"/>
        </w:rPr>
        <w:t xml:space="preserve"> 附 </w:t>
      </w:r>
      <w:r>
        <w:rPr>
          <w:rFonts w:hint="eastAsia" w:ascii="黑体" w:hAnsi="宋体" w:eastAsia="黑体"/>
          <w:b/>
          <w:color w:val="auto"/>
          <w:sz w:val="24"/>
          <w:highlight w:val="none"/>
        </w:rPr>
        <w:t>录</w:t>
      </w:r>
    </w:p>
    <w:tbl>
      <w:tblPr>
        <w:tblStyle w:val="11"/>
        <w:tblpPr w:leftFromText="180" w:rightFromText="180" w:vertAnchor="text" w:horzAnchor="page" w:tblpX="1685" w:tblpY="446"/>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4664"/>
        <w:gridCol w:w="830"/>
        <w:gridCol w:w="3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事       项</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w:t>
            </w:r>
          </w:p>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报价担保金额</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报价须知</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20万元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履约担保金额</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报价须知</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签约合同总价的5%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报价有效期</w:t>
            </w:r>
          </w:p>
        </w:tc>
        <w:tc>
          <w:tcPr>
            <w:tcW w:w="83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报价须知</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投标截止之后</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开工期</w:t>
            </w:r>
            <w:r>
              <w:rPr>
                <w:rFonts w:hint="eastAsia" w:ascii="宋体" w:hAnsi="宋体" w:cs="宋体"/>
                <w:color w:val="auto"/>
                <w:spacing w:val="-6"/>
                <w:sz w:val="24"/>
                <w:szCs w:val="24"/>
                <w:highlight w:val="none"/>
              </w:rPr>
              <w:t>(接到项目部的开工通知书之日起算)</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接到通知之日起5 </w:t>
            </w:r>
            <w:r>
              <w:rPr>
                <w:rFonts w:hint="eastAsia" w:ascii="宋体" w:hAnsi="宋体" w:cs="宋体"/>
                <w:color w:val="auto"/>
                <w:sz w:val="24"/>
                <w:szCs w:val="24"/>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工期</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逾期交工违约金</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10000元/天，限额为10%签约合同价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农民工工资保障金</w:t>
            </w:r>
          </w:p>
        </w:tc>
        <w:tc>
          <w:tcPr>
            <w:tcW w:w="83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jc w:val="center"/>
              <w:rPr>
                <w:rFonts w:hint="eastAsia" w:ascii="宋体" w:hAnsi="宋体" w:cs="宋体"/>
                <w:color w:val="auto"/>
                <w:sz w:val="24"/>
                <w:szCs w:val="24"/>
                <w:highlight w:val="none"/>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每期进度款金额的2%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4664"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w:t>
            </w:r>
          </w:p>
        </w:tc>
        <w:tc>
          <w:tcPr>
            <w:tcW w:w="83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hint="eastAsia" w:ascii="宋体" w:hAnsi="宋体" w:cs="宋体"/>
                <w:color w:val="auto"/>
                <w:sz w:val="24"/>
                <w:szCs w:val="24"/>
                <w:highlight w:val="none"/>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pPr>
              <w:tabs>
                <w:tab w:val="left" w:pos="2655"/>
              </w:tabs>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结算价的3%</w:t>
            </w:r>
          </w:p>
        </w:tc>
      </w:tr>
    </w:tbl>
    <w:p>
      <w:pPr>
        <w:adjustRightInd w:val="0"/>
        <w:snapToGrid w:val="0"/>
        <w:spacing w:line="560" w:lineRule="exact"/>
        <w:rPr>
          <w:rFonts w:hint="eastAsia" w:ascii="宋体" w:hAnsi="宋体"/>
          <w:color w:val="auto"/>
          <w:sz w:val="24"/>
          <w:szCs w:val="24"/>
          <w:highlight w:val="none"/>
        </w:rPr>
      </w:pPr>
    </w:p>
    <w:p>
      <w:pPr>
        <w:spacing w:line="440" w:lineRule="exact"/>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440" w:lineRule="exact"/>
        <w:ind w:firstLine="3840" w:firstLineChars="1600"/>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pacing w:line="440" w:lineRule="exact"/>
        <w:ind w:firstLine="3840" w:firstLineChars="16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13"/>
        <w:spacing w:line="240" w:lineRule="auto"/>
        <w:rPr>
          <w:rFonts w:ascii="黑体" w:eastAsia="黑体"/>
          <w:b/>
          <w:bCs/>
          <w:color w:val="auto"/>
          <w:sz w:val="28"/>
          <w:highlight w:val="none"/>
        </w:rPr>
      </w:pPr>
      <w:r>
        <w:rPr>
          <w:rFonts w:ascii="黑体" w:eastAsia="黑体"/>
          <w:b/>
          <w:bCs/>
          <w:color w:val="auto"/>
          <w:sz w:val="28"/>
          <w:highlight w:val="none"/>
        </w:rPr>
        <w:br w:type="page"/>
      </w:r>
    </w:p>
    <w:p>
      <w:pPr>
        <w:adjustRightInd w:val="0"/>
        <w:snapToGrid w:val="0"/>
        <w:spacing w:line="360" w:lineRule="auto"/>
        <w:jc w:val="center"/>
        <w:rPr>
          <w:rFonts w:hint="eastAsia" w:ascii="宋体" w:hAnsi="宋体"/>
          <w:b/>
          <w:color w:val="auto"/>
          <w:sz w:val="24"/>
          <w:szCs w:val="24"/>
          <w:highlight w:val="none"/>
          <w:lang w:bidi="he-IL"/>
        </w:rPr>
      </w:pPr>
      <w:r>
        <w:rPr>
          <w:rFonts w:hint="eastAsia" w:ascii="宋体" w:hAnsi="宋体"/>
          <w:b/>
          <w:color w:val="auto"/>
          <w:sz w:val="24"/>
          <w:highlight w:val="none"/>
        </w:rPr>
        <w:t xml:space="preserve">第四章    </w:t>
      </w:r>
      <w:r>
        <w:rPr>
          <w:rFonts w:hint="eastAsia" w:ascii="宋体" w:hAnsi="宋体"/>
          <w:b/>
          <w:color w:val="auto"/>
          <w:highlight w:val="none"/>
        </w:rPr>
        <w:t xml:space="preserve"> </w:t>
      </w:r>
      <w:r>
        <w:rPr>
          <w:rFonts w:hint="eastAsia" w:ascii="宋体" w:hAnsi="宋体"/>
          <w:b/>
          <w:bCs/>
          <w:color w:val="auto"/>
          <w:sz w:val="24"/>
          <w:szCs w:val="24"/>
          <w:highlight w:val="none"/>
        </w:rPr>
        <w:t>法定代表人授权委托书</w:t>
      </w:r>
    </w:p>
    <w:p>
      <w:pPr>
        <w:ind w:firstLine="435"/>
        <w:jc w:val="center"/>
        <w:rPr>
          <w:rFonts w:hint="eastAsia" w:ascii="宋体" w:hAnsi="宋体"/>
          <w:color w:val="auto"/>
          <w:sz w:val="24"/>
          <w:highlight w:val="none"/>
        </w:rPr>
      </w:pPr>
    </w:p>
    <w:p>
      <w:pPr>
        <w:numPr>
          <w:ilvl w:val="0"/>
          <w:numId w:val="2"/>
        </w:numPr>
        <w:ind w:firstLine="482" w:firstLineChars="200"/>
        <w:jc w:val="center"/>
        <w:rPr>
          <w:rFonts w:hint="eastAsia" w:ascii="宋体" w:hAnsi="宋体" w:cs="宋体"/>
          <w:b/>
          <w:color w:val="auto"/>
          <w:sz w:val="24"/>
          <w:szCs w:val="24"/>
          <w:highlight w:val="none"/>
        </w:rPr>
      </w:pPr>
      <w:bookmarkStart w:id="1" w:name="_Toc60949434"/>
      <w:bookmarkStart w:id="2" w:name="_Toc500604806"/>
      <w:r>
        <w:rPr>
          <w:rFonts w:hint="eastAsia" w:ascii="宋体" w:hAnsi="宋体" w:cs="宋体"/>
          <w:b/>
          <w:color w:val="auto"/>
          <w:sz w:val="24"/>
          <w:szCs w:val="24"/>
          <w:highlight w:val="none"/>
        </w:rPr>
        <w:t>法定代表人身份证明</w:t>
      </w:r>
      <w:bookmarkEnd w:id="1"/>
      <w:bookmarkEnd w:id="2"/>
    </w:p>
    <w:p>
      <w:pPr>
        <w:spacing w:before="240" w:beforeLines="100" w:after="240" w:afterLines="10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法定代表人身份证明</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报价人名称：______________________________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单位性质：_________________________________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地址：_____________________________________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成立时间：_________________________________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经营期限：_________________________________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姓名：_______性别：______年龄：_____职务：______</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系_____________________（报价人名称）的法定代表人。</w:t>
      </w:r>
    </w:p>
    <w:p>
      <w:pPr>
        <w:pStyle w:val="3"/>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特此证明</w:t>
      </w:r>
    </w:p>
    <w:p>
      <w:pPr>
        <w:pStyle w:val="3"/>
        <w:spacing w:line="360" w:lineRule="auto"/>
        <w:ind w:firstLine="480"/>
        <w:rPr>
          <w:rFonts w:hint="eastAsia" w:ascii="宋体" w:hAnsi="宋体" w:cs="宋体"/>
          <w:bCs/>
          <w:color w:val="auto"/>
          <w:sz w:val="24"/>
          <w:highlight w:val="none"/>
        </w:rPr>
      </w:pPr>
    </w:p>
    <w:p>
      <w:pPr>
        <w:spacing w:line="440" w:lineRule="exact"/>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40" w:lineRule="exact"/>
        <w:ind w:firstLine="3675"/>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before="240" w:line="360" w:lineRule="auto"/>
        <w:ind w:left="4200" w:leftChars="2000" w:firstLine="720" w:firstLineChars="300"/>
        <w:rPr>
          <w:rFonts w:hint="eastAsia" w:ascii="宋体" w:hAnsi="宋体" w:cs="宋体"/>
          <w:b/>
          <w:color w:val="auto"/>
          <w:sz w:val="24"/>
          <w:szCs w:val="24"/>
          <w:highlight w:val="none"/>
          <w:lang w:bidi="he-IL"/>
        </w:rPr>
      </w:pPr>
      <w:r>
        <w:rPr>
          <w:rFonts w:hint="eastAsia" w:ascii="宋体" w:hAnsi="宋体" w:cs="宋体"/>
          <w:color w:val="auto"/>
          <w:sz w:val="24"/>
          <w:szCs w:val="24"/>
          <w:highlight w:val="none"/>
        </w:rPr>
        <w:t xml:space="preserve">                          </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注：须附法定代表人身份证（正反面）复印件。</w:t>
      </w: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spacing w:line="500" w:lineRule="exact"/>
        <w:ind w:firstLine="435"/>
        <w:jc w:val="center"/>
        <w:rPr>
          <w:rFonts w:hint="eastAsia" w:ascii="宋体" w:hAnsi="宋体"/>
          <w:b/>
          <w:color w:val="auto"/>
          <w:sz w:val="24"/>
          <w:highlight w:val="none"/>
        </w:rPr>
      </w:pPr>
    </w:p>
    <w:p>
      <w:pPr>
        <w:spacing w:line="500" w:lineRule="exact"/>
        <w:ind w:firstLine="435"/>
        <w:jc w:val="center"/>
        <w:rPr>
          <w:rFonts w:hint="eastAsia" w:ascii="宋体" w:hAnsi="宋体"/>
          <w:b/>
          <w:color w:val="auto"/>
          <w:sz w:val="24"/>
          <w:highlight w:val="none"/>
        </w:rPr>
      </w:pPr>
      <w:r>
        <w:rPr>
          <w:rFonts w:hint="eastAsia" w:ascii="宋体" w:hAnsi="宋体"/>
          <w:b/>
          <w:color w:val="auto"/>
          <w:sz w:val="24"/>
          <w:highlight w:val="none"/>
        </w:rPr>
        <w:t>二、法定代表人授权委托书</w:t>
      </w:r>
    </w:p>
    <w:p>
      <w:pPr>
        <w:spacing w:line="500" w:lineRule="exact"/>
        <w:rPr>
          <w:rFonts w:hint="eastAsia" w:ascii="宋体" w:hAnsi="宋体"/>
          <w:color w:val="auto"/>
          <w:sz w:val="24"/>
          <w:highlight w:val="none"/>
        </w:rPr>
      </w:pPr>
    </w:p>
    <w:p>
      <w:pPr>
        <w:spacing w:line="50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 xml:space="preserve">本人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(姓名)系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（报价人名称）的法定代表人，现授权委托我公司的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（职务）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(姓名)为我公司代理人。以我公司名义签署、澄清、说明、补正、递交、撤回、修改</w:t>
      </w:r>
      <w:r>
        <w:rPr>
          <w:rFonts w:hint="eastAsia" w:ascii="宋体" w:hAnsi="宋体"/>
          <w:bCs/>
          <w:color w:val="auto"/>
          <w:sz w:val="24"/>
          <w:szCs w:val="24"/>
          <w:highlight w:val="none"/>
          <w:u w:val="single"/>
        </w:rPr>
        <w:t>北海市备用（第二）水源建设工程PPP项目第   工区劳务协作</w:t>
      </w:r>
      <w:r>
        <w:rPr>
          <w:rFonts w:hint="eastAsia" w:ascii="宋体" w:hAnsi="宋体"/>
          <w:color w:val="auto"/>
          <w:sz w:val="24"/>
          <w:szCs w:val="24"/>
          <w:highlight w:val="none"/>
        </w:rPr>
        <w:t>的施工报价文件、签署合同和处理有关事宜，其法律后果由我方承担。</w:t>
      </w:r>
    </w:p>
    <w:p>
      <w:pPr>
        <w:spacing w:line="500" w:lineRule="exact"/>
        <w:ind w:firstLine="600" w:firstLineChars="250"/>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500" w:lineRule="exact"/>
        <w:ind w:firstLine="676" w:firstLineChars="282"/>
        <w:rPr>
          <w:rFonts w:hint="eastAsia" w:ascii="宋体" w:hAnsi="宋体"/>
          <w:color w:val="auto"/>
          <w:sz w:val="24"/>
          <w:highlight w:val="none"/>
        </w:rPr>
      </w:pPr>
      <w:r>
        <w:rPr>
          <w:rFonts w:hint="eastAsia" w:ascii="宋体" w:hAnsi="宋体"/>
          <w:color w:val="auto"/>
          <w:sz w:val="24"/>
          <w:highlight w:val="none"/>
        </w:rPr>
        <w:t>代理人无转委托权。</w:t>
      </w:r>
    </w:p>
    <w:p>
      <w:pPr>
        <w:spacing w:line="500" w:lineRule="exact"/>
        <w:ind w:firstLine="676" w:firstLineChars="282"/>
        <w:rPr>
          <w:rFonts w:hint="eastAsia" w:ascii="宋体" w:hAnsi="宋体"/>
          <w:color w:val="auto"/>
          <w:sz w:val="24"/>
          <w:highlight w:val="none"/>
        </w:rPr>
      </w:pPr>
      <w:r>
        <w:rPr>
          <w:rFonts w:hint="eastAsia" w:ascii="宋体" w:hAnsi="宋体"/>
          <w:color w:val="auto"/>
          <w:sz w:val="24"/>
          <w:highlight w:val="none"/>
        </w:rPr>
        <w:t>特此委托。</w:t>
      </w:r>
    </w:p>
    <w:p>
      <w:pPr>
        <w:spacing w:line="460" w:lineRule="exact"/>
        <w:ind w:firstLine="435"/>
        <w:rPr>
          <w:rFonts w:hint="eastAsia" w:ascii="宋体" w:hAnsi="宋体"/>
          <w:color w:val="auto"/>
          <w:sz w:val="24"/>
          <w:highlight w:val="none"/>
        </w:rPr>
      </w:pPr>
    </w:p>
    <w:p>
      <w:pPr>
        <w:spacing w:line="460" w:lineRule="exact"/>
        <w:ind w:firstLine="435"/>
        <w:rPr>
          <w:rFonts w:hint="eastAsia" w:ascii="宋体" w:hAnsi="宋体"/>
          <w:color w:val="auto"/>
          <w:sz w:val="24"/>
          <w:highlight w:val="none"/>
        </w:rPr>
      </w:pPr>
    </w:p>
    <w:p>
      <w:pPr>
        <w:spacing w:line="460" w:lineRule="exact"/>
        <w:ind w:firstLine="435"/>
        <w:rPr>
          <w:rFonts w:hint="eastAsia" w:ascii="宋体" w:hAnsi="宋体"/>
          <w:color w:val="auto"/>
          <w:sz w:val="24"/>
          <w:highlight w:val="none"/>
        </w:rPr>
      </w:pPr>
    </w:p>
    <w:p>
      <w:pPr>
        <w:spacing w:line="460" w:lineRule="exact"/>
        <w:ind w:firstLine="4260" w:firstLineChars="1775"/>
        <w:rPr>
          <w:rFonts w:hint="eastAsia" w:ascii="宋体" w:hAnsi="宋体"/>
          <w:color w:val="auto"/>
          <w:sz w:val="24"/>
          <w:highlight w:val="none"/>
        </w:rPr>
      </w:pPr>
      <w:r>
        <w:rPr>
          <w:rFonts w:hint="eastAsia" w:ascii="宋体" w:hAnsi="宋体"/>
          <w:color w:val="auto"/>
          <w:sz w:val="24"/>
          <w:highlight w:val="none"/>
        </w:rPr>
        <w:t>报价人 (盖章) ：</w:t>
      </w:r>
    </w:p>
    <w:p>
      <w:pPr>
        <w:spacing w:line="460" w:lineRule="exact"/>
        <w:rPr>
          <w:rFonts w:hint="eastAsia" w:ascii="宋体" w:hAnsi="宋体"/>
          <w:color w:val="auto"/>
          <w:sz w:val="24"/>
          <w:highlight w:val="none"/>
        </w:rPr>
      </w:pPr>
    </w:p>
    <w:p>
      <w:pPr>
        <w:spacing w:line="460" w:lineRule="exact"/>
        <w:ind w:firstLine="4260" w:firstLineChars="1775"/>
        <w:rPr>
          <w:rFonts w:hint="eastAsia" w:ascii="宋体" w:hAnsi="宋体"/>
          <w:color w:val="auto"/>
          <w:sz w:val="24"/>
          <w:highlight w:val="none"/>
        </w:rPr>
      </w:pPr>
      <w:r>
        <w:rPr>
          <w:rFonts w:hint="eastAsia" w:ascii="宋体" w:hAnsi="宋体"/>
          <w:color w:val="auto"/>
          <w:sz w:val="24"/>
          <w:highlight w:val="none"/>
        </w:rPr>
        <w:t>法定代表人（签字或盖章）：</w:t>
      </w:r>
    </w:p>
    <w:p>
      <w:pPr>
        <w:spacing w:line="460" w:lineRule="exact"/>
        <w:rPr>
          <w:rFonts w:hint="eastAsia" w:ascii="宋体" w:hAnsi="宋体"/>
          <w:color w:val="auto"/>
          <w:sz w:val="24"/>
          <w:highlight w:val="none"/>
        </w:rPr>
      </w:pPr>
    </w:p>
    <w:p>
      <w:pPr>
        <w:spacing w:line="460" w:lineRule="exact"/>
        <w:ind w:firstLine="4260" w:firstLineChars="1775"/>
        <w:rPr>
          <w:rFonts w:hint="eastAsia" w:ascii="宋体" w:hAnsi="宋体"/>
          <w:color w:val="auto"/>
          <w:sz w:val="24"/>
          <w:highlight w:val="none"/>
        </w:rPr>
      </w:pPr>
      <w:r>
        <w:rPr>
          <w:rFonts w:hint="eastAsia" w:ascii="宋体" w:hAnsi="宋体"/>
          <w:color w:val="auto"/>
          <w:sz w:val="24"/>
          <w:highlight w:val="none"/>
        </w:rPr>
        <w:t>代理人 (签字)：</w:t>
      </w:r>
    </w:p>
    <w:p>
      <w:pPr>
        <w:spacing w:line="460" w:lineRule="exact"/>
        <w:rPr>
          <w:rFonts w:hint="eastAsia" w:ascii="宋体" w:hAnsi="宋体"/>
          <w:color w:val="auto"/>
          <w:sz w:val="24"/>
          <w:highlight w:val="none"/>
        </w:rPr>
      </w:pPr>
    </w:p>
    <w:p>
      <w:pPr>
        <w:spacing w:line="460" w:lineRule="exact"/>
        <w:ind w:firstLine="4260" w:firstLineChars="1775"/>
        <w:rPr>
          <w:rFonts w:hint="eastAsia" w:ascii="宋体" w:hAnsi="宋体"/>
          <w:color w:val="auto"/>
          <w:sz w:val="24"/>
          <w:highlight w:val="none"/>
        </w:rPr>
      </w:pPr>
      <w:r>
        <w:rPr>
          <w:rFonts w:hint="eastAsia" w:ascii="宋体" w:hAnsi="宋体"/>
          <w:color w:val="auto"/>
          <w:sz w:val="24"/>
          <w:highlight w:val="none"/>
        </w:rPr>
        <w:t>身份证号码：</w:t>
      </w:r>
    </w:p>
    <w:p>
      <w:pPr>
        <w:spacing w:line="460" w:lineRule="exact"/>
        <w:ind w:firstLine="4260" w:firstLineChars="1775"/>
        <w:rPr>
          <w:rFonts w:hint="eastAsia" w:ascii="宋体" w:hAnsi="宋体"/>
          <w:color w:val="auto"/>
          <w:sz w:val="24"/>
          <w:szCs w:val="22"/>
          <w:highlight w:val="none"/>
          <w:lang w:val="en-US" w:eastAsia="zh-CN"/>
        </w:rPr>
      </w:pPr>
    </w:p>
    <w:p>
      <w:pPr>
        <w:spacing w:line="460" w:lineRule="exact"/>
        <w:ind w:firstLine="4260" w:firstLineChars="1775"/>
        <w:rPr>
          <w:rFonts w:hint="eastAsia" w:ascii="宋体" w:hAnsi="宋体"/>
          <w:color w:val="auto"/>
          <w:sz w:val="24"/>
          <w:szCs w:val="22"/>
          <w:highlight w:val="none"/>
        </w:rPr>
      </w:pPr>
      <w:r>
        <w:rPr>
          <w:rFonts w:hint="eastAsia" w:ascii="宋体" w:hAnsi="宋体"/>
          <w:color w:val="auto"/>
          <w:sz w:val="24"/>
          <w:szCs w:val="22"/>
          <w:highlight w:val="none"/>
          <w:lang w:val="en-US" w:eastAsia="zh-CN"/>
        </w:rPr>
        <w:t>联系电话：</w:t>
      </w:r>
    </w:p>
    <w:p>
      <w:pPr>
        <w:spacing w:line="460" w:lineRule="exact"/>
        <w:rPr>
          <w:rFonts w:hint="eastAsia" w:ascii="宋体" w:hAnsi="宋体"/>
          <w:color w:val="auto"/>
          <w:sz w:val="24"/>
          <w:highlight w:val="none"/>
        </w:rPr>
      </w:pPr>
    </w:p>
    <w:p>
      <w:pPr>
        <w:spacing w:line="460" w:lineRule="exact"/>
        <w:ind w:firstLine="4320" w:firstLineChars="1800"/>
        <w:rPr>
          <w:rFonts w:hint="eastAsia" w:ascii="宋体" w:hAnsi="宋体"/>
          <w:color w:val="auto"/>
          <w:sz w:val="24"/>
          <w:highlight w:val="none"/>
        </w:rPr>
      </w:pPr>
      <w:r>
        <w:rPr>
          <w:rFonts w:hint="eastAsia" w:ascii="宋体" w:hAnsi="宋体"/>
          <w:color w:val="auto"/>
          <w:sz w:val="24"/>
          <w:highlight w:val="none"/>
        </w:rPr>
        <w:t>日期：      年    月    日</w:t>
      </w:r>
    </w:p>
    <w:p>
      <w:pPr>
        <w:adjustRightInd w:val="0"/>
        <w:snapToGrid w:val="0"/>
        <w:rPr>
          <w:rFonts w:hint="eastAsia" w:ascii="宋体" w:hAnsi="宋体"/>
          <w:color w:val="auto"/>
          <w:sz w:val="24"/>
          <w:highlight w:val="none"/>
          <w:lang w:bidi="he-IL"/>
        </w:rPr>
      </w:pPr>
    </w:p>
    <w:p>
      <w:pPr>
        <w:pStyle w:val="13"/>
        <w:spacing w:line="240" w:lineRule="auto"/>
        <w:jc w:val="center"/>
        <w:rPr>
          <w:rFonts w:ascii="黑体" w:eastAsia="黑体"/>
          <w:b/>
          <w:bCs/>
          <w:color w:val="auto"/>
          <w:sz w:val="28"/>
          <w:highlight w:val="none"/>
        </w:rPr>
      </w:pPr>
    </w:p>
    <w:p>
      <w:pPr>
        <w:pStyle w:val="13"/>
        <w:spacing w:line="240" w:lineRule="auto"/>
        <w:jc w:val="center"/>
        <w:rPr>
          <w:rFonts w:ascii="黑体" w:eastAsia="黑体"/>
          <w:b/>
          <w:bCs/>
          <w:color w:val="auto"/>
          <w:sz w:val="28"/>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注：须附委托代理人身份证（正反面）复印件</w:t>
      </w:r>
    </w:p>
    <w:p>
      <w:pPr>
        <w:spacing w:line="500" w:lineRule="exact"/>
        <w:ind w:firstLine="600" w:firstLineChars="250"/>
        <w:rPr>
          <w:rFonts w:hint="eastAsia" w:ascii="宋体" w:hAnsi="宋体"/>
          <w:color w:val="auto"/>
          <w:sz w:val="24"/>
          <w:szCs w:val="24"/>
          <w:highlight w:val="none"/>
        </w:rPr>
      </w:pPr>
    </w:p>
    <w:p>
      <w:pPr>
        <w:jc w:val="center"/>
        <w:rPr>
          <w:rFonts w:hint="eastAsia" w:ascii="宋体" w:hAnsi="宋体"/>
          <w:b/>
          <w:color w:val="auto"/>
          <w:sz w:val="24"/>
          <w:highlight w:val="none"/>
        </w:rPr>
      </w:pPr>
    </w:p>
    <w:p>
      <w:pPr>
        <w:jc w:val="center"/>
        <w:rPr>
          <w:rFonts w:hint="eastAsia" w:ascii="宋体" w:hAnsi="宋体"/>
          <w:b/>
          <w:color w:val="auto"/>
          <w:sz w:val="24"/>
          <w:highlight w:val="none"/>
        </w:rPr>
      </w:pPr>
    </w:p>
    <w:p>
      <w:pPr>
        <w:pStyle w:val="2"/>
        <w:rPr>
          <w:rFonts w:hint="eastAsia"/>
        </w:rPr>
      </w:pPr>
    </w:p>
    <w:p>
      <w:pPr>
        <w:jc w:val="center"/>
        <w:rPr>
          <w:rFonts w:hint="eastAsia" w:ascii="宋体" w:hAnsi="宋体"/>
          <w:b/>
          <w:color w:val="auto"/>
          <w:sz w:val="24"/>
          <w:highlight w:val="none"/>
        </w:rPr>
      </w:pPr>
    </w:p>
    <w:p>
      <w:pPr>
        <w:numPr>
          <w:ilvl w:val="0"/>
          <w:numId w:val="3"/>
        </w:numPr>
        <w:jc w:val="center"/>
        <w:rPr>
          <w:rFonts w:hint="eastAsia" w:ascii="宋体" w:hAnsi="宋体"/>
          <w:b/>
          <w:color w:val="auto"/>
          <w:sz w:val="24"/>
          <w:highlight w:val="none"/>
        </w:rPr>
      </w:pPr>
      <w:r>
        <w:rPr>
          <w:rFonts w:hint="eastAsia" w:ascii="宋体" w:hAnsi="宋体"/>
          <w:b/>
          <w:color w:val="auto"/>
          <w:sz w:val="24"/>
          <w:highlight w:val="none"/>
        </w:rPr>
        <w:t xml:space="preserve">  报价保证金</w:t>
      </w:r>
    </w:p>
    <w:p>
      <w:pPr>
        <w:jc w:val="center"/>
        <w:rPr>
          <w:rFonts w:hint="eastAsia"/>
          <w:color w:val="auto"/>
          <w:sz w:val="24"/>
          <w:szCs w:val="24"/>
          <w:highlight w:val="none"/>
        </w:rPr>
      </w:pPr>
    </w:p>
    <w:p>
      <w:pPr>
        <w:jc w:val="center"/>
        <w:rPr>
          <w:rFonts w:hint="eastAsia"/>
          <w:color w:val="auto"/>
          <w:sz w:val="24"/>
          <w:szCs w:val="24"/>
          <w:highlight w:val="none"/>
        </w:rPr>
      </w:pPr>
    </w:p>
    <w:p>
      <w:pPr>
        <w:jc w:val="center"/>
        <w:rPr>
          <w:rFonts w:hint="eastAsia"/>
          <w:color w:val="auto"/>
          <w:sz w:val="24"/>
          <w:szCs w:val="24"/>
          <w:highlight w:val="none"/>
        </w:rPr>
      </w:pPr>
    </w:p>
    <w:p>
      <w:pPr>
        <w:jc w:val="center"/>
        <w:rPr>
          <w:rFonts w:hint="eastAsia"/>
          <w:color w:val="auto"/>
          <w:sz w:val="24"/>
          <w:szCs w:val="24"/>
          <w:highlight w:val="none"/>
        </w:rPr>
      </w:pPr>
    </w:p>
    <w:p>
      <w:pPr>
        <w:jc w:val="center"/>
        <w:rPr>
          <w:rFonts w:hint="eastAsia"/>
          <w:color w:val="auto"/>
          <w:sz w:val="24"/>
          <w:szCs w:val="24"/>
          <w:highlight w:val="none"/>
        </w:rPr>
      </w:pPr>
    </w:p>
    <w:p>
      <w:pPr>
        <w:jc w:val="center"/>
        <w:rPr>
          <w:rFonts w:hint="eastAsia"/>
          <w:color w:val="auto"/>
          <w:sz w:val="24"/>
          <w:szCs w:val="24"/>
          <w:highlight w:val="none"/>
        </w:rPr>
      </w:pPr>
      <w:r>
        <w:rPr>
          <w:rFonts w:hint="eastAsia"/>
          <w:color w:val="auto"/>
          <w:sz w:val="24"/>
          <w:szCs w:val="24"/>
          <w:highlight w:val="none"/>
        </w:rPr>
        <w:t>（银行转账凭证）</w:t>
      </w:r>
    </w:p>
    <w:p>
      <w:pPr>
        <w:rPr>
          <w:rFonts w:hint="eastAsia" w:ascii="宋体" w:hAnsi="宋体"/>
          <w:b/>
          <w:color w:val="auto"/>
          <w:sz w:val="24"/>
          <w:highlight w:val="none"/>
        </w:rPr>
      </w:pPr>
      <w:r>
        <w:rPr>
          <w:color w:val="auto"/>
          <w:sz w:val="24"/>
          <w:szCs w:val="24"/>
          <w:highlight w:val="none"/>
        </w:rPr>
        <w:br w:type="page"/>
      </w: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第六章   报价书附表格式</w:t>
      </w:r>
    </w:p>
    <w:p>
      <w:pPr>
        <w:jc w:val="center"/>
        <w:rPr>
          <w:rFonts w:hint="eastAsia" w:ascii="宋体" w:hAnsi="宋体"/>
          <w:b/>
          <w:color w:val="auto"/>
          <w:sz w:val="24"/>
          <w:highlight w:val="none"/>
        </w:rPr>
      </w:pPr>
    </w:p>
    <w:p>
      <w:pPr>
        <w:spacing w:line="360" w:lineRule="auto"/>
        <w:jc w:val="left"/>
        <w:outlineLvl w:val="3"/>
        <w:rPr>
          <w:rFonts w:hint="eastAsia" w:ascii="宋体" w:hAnsi="宋体"/>
          <w:b/>
          <w:color w:val="auto"/>
          <w:sz w:val="24"/>
          <w:highlight w:val="none"/>
        </w:rPr>
      </w:pPr>
      <w:r>
        <w:rPr>
          <w:rFonts w:hint="eastAsia" w:ascii="宋体" w:hAnsi="宋体"/>
          <w:b/>
          <w:color w:val="auto"/>
          <w:sz w:val="24"/>
          <w:highlight w:val="none"/>
        </w:rPr>
        <w:t xml:space="preserve">附表一：                  </w:t>
      </w:r>
      <w:bookmarkStart w:id="3" w:name="_Hlk86588147"/>
      <w:r>
        <w:rPr>
          <w:rFonts w:hint="eastAsia" w:ascii="宋体" w:hAnsi="宋体"/>
          <w:b/>
          <w:color w:val="auto"/>
          <w:sz w:val="24"/>
          <w:highlight w:val="none"/>
        </w:rPr>
        <w:t>拟设入本工程的主要施工设备表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805"/>
        <w:gridCol w:w="1290"/>
        <w:gridCol w:w="1155"/>
        <w:gridCol w:w="1007"/>
        <w:gridCol w:w="1079"/>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35" w:type="dxa"/>
            <w:noWrap w:val="0"/>
            <w:vAlign w:val="top"/>
          </w:tcPr>
          <w:p>
            <w:pPr>
              <w:pStyle w:val="14"/>
              <w:spacing w:before="3"/>
              <w:rPr>
                <w:b/>
                <w:color w:val="auto"/>
                <w:sz w:val="24"/>
                <w:highlight w:val="none"/>
              </w:rPr>
            </w:pPr>
          </w:p>
          <w:p>
            <w:pPr>
              <w:pStyle w:val="14"/>
              <w:ind w:left="126"/>
              <w:rPr>
                <w:color w:val="auto"/>
                <w:sz w:val="24"/>
                <w:highlight w:val="none"/>
              </w:rPr>
            </w:pPr>
            <w:r>
              <w:rPr>
                <w:color w:val="auto"/>
                <w:sz w:val="24"/>
                <w:highlight w:val="none"/>
              </w:rPr>
              <w:t>序号</w:t>
            </w:r>
          </w:p>
        </w:tc>
        <w:tc>
          <w:tcPr>
            <w:tcW w:w="2805" w:type="dxa"/>
            <w:noWrap w:val="0"/>
            <w:vAlign w:val="top"/>
          </w:tcPr>
          <w:p>
            <w:pPr>
              <w:pStyle w:val="14"/>
              <w:spacing w:before="3"/>
              <w:rPr>
                <w:b/>
                <w:color w:val="auto"/>
                <w:sz w:val="24"/>
                <w:highlight w:val="none"/>
              </w:rPr>
            </w:pPr>
          </w:p>
          <w:p>
            <w:pPr>
              <w:pStyle w:val="14"/>
              <w:ind w:left="922"/>
              <w:rPr>
                <w:color w:val="auto"/>
                <w:sz w:val="24"/>
                <w:highlight w:val="none"/>
              </w:rPr>
            </w:pPr>
            <w:r>
              <w:rPr>
                <w:color w:val="auto"/>
                <w:sz w:val="24"/>
                <w:highlight w:val="none"/>
              </w:rPr>
              <w:t>设备名称</w:t>
            </w:r>
          </w:p>
        </w:tc>
        <w:tc>
          <w:tcPr>
            <w:tcW w:w="1290" w:type="dxa"/>
            <w:noWrap w:val="0"/>
            <w:vAlign w:val="top"/>
          </w:tcPr>
          <w:p>
            <w:pPr>
              <w:pStyle w:val="14"/>
              <w:spacing w:before="3"/>
              <w:rPr>
                <w:b/>
                <w:color w:val="auto"/>
                <w:sz w:val="24"/>
                <w:highlight w:val="none"/>
              </w:rPr>
            </w:pPr>
          </w:p>
          <w:p>
            <w:pPr>
              <w:pStyle w:val="14"/>
              <w:ind w:left="164"/>
              <w:rPr>
                <w:color w:val="auto"/>
                <w:sz w:val="24"/>
                <w:highlight w:val="none"/>
              </w:rPr>
            </w:pPr>
            <w:r>
              <w:rPr>
                <w:color w:val="auto"/>
                <w:sz w:val="24"/>
                <w:highlight w:val="none"/>
              </w:rPr>
              <w:t>规格型号</w:t>
            </w:r>
          </w:p>
        </w:tc>
        <w:tc>
          <w:tcPr>
            <w:tcW w:w="1155" w:type="dxa"/>
            <w:noWrap w:val="0"/>
            <w:vAlign w:val="top"/>
          </w:tcPr>
          <w:p>
            <w:pPr>
              <w:pStyle w:val="14"/>
              <w:spacing w:before="1" w:line="242" w:lineRule="auto"/>
              <w:ind w:left="216" w:right="206"/>
              <w:jc w:val="center"/>
              <w:rPr>
                <w:color w:val="auto"/>
                <w:sz w:val="24"/>
                <w:highlight w:val="none"/>
              </w:rPr>
            </w:pPr>
            <w:r>
              <w:rPr>
                <w:color w:val="auto"/>
                <w:sz w:val="24"/>
                <w:highlight w:val="none"/>
              </w:rPr>
              <w:t>厂牌及出厂时</w:t>
            </w:r>
          </w:p>
          <w:p>
            <w:pPr>
              <w:pStyle w:val="14"/>
              <w:spacing w:before="1" w:line="291" w:lineRule="exact"/>
              <w:ind w:left="7"/>
              <w:jc w:val="center"/>
              <w:rPr>
                <w:color w:val="auto"/>
                <w:sz w:val="24"/>
                <w:highlight w:val="none"/>
              </w:rPr>
            </w:pPr>
            <w:r>
              <w:rPr>
                <w:color w:val="auto"/>
                <w:sz w:val="24"/>
                <w:highlight w:val="none"/>
              </w:rPr>
              <w:t>间</w:t>
            </w:r>
          </w:p>
        </w:tc>
        <w:tc>
          <w:tcPr>
            <w:tcW w:w="1007" w:type="dxa"/>
            <w:noWrap w:val="0"/>
            <w:vAlign w:val="top"/>
          </w:tcPr>
          <w:p>
            <w:pPr>
              <w:pStyle w:val="14"/>
              <w:spacing w:before="155"/>
              <w:ind w:left="123" w:right="113"/>
              <w:jc w:val="center"/>
              <w:rPr>
                <w:color w:val="auto"/>
                <w:sz w:val="24"/>
                <w:highlight w:val="none"/>
              </w:rPr>
            </w:pPr>
            <w:r>
              <w:rPr>
                <w:color w:val="auto"/>
                <w:sz w:val="24"/>
                <w:highlight w:val="none"/>
              </w:rPr>
              <w:t>数量</w:t>
            </w:r>
          </w:p>
          <w:p>
            <w:pPr>
              <w:pStyle w:val="14"/>
              <w:spacing w:before="4"/>
              <w:ind w:left="123" w:right="113"/>
              <w:jc w:val="center"/>
              <w:rPr>
                <w:color w:val="auto"/>
                <w:sz w:val="24"/>
                <w:highlight w:val="none"/>
              </w:rPr>
            </w:pPr>
            <w:r>
              <w:rPr>
                <w:color w:val="auto"/>
                <w:sz w:val="24"/>
                <w:highlight w:val="none"/>
              </w:rPr>
              <w:t>（台）</w:t>
            </w:r>
          </w:p>
        </w:tc>
        <w:tc>
          <w:tcPr>
            <w:tcW w:w="1079" w:type="dxa"/>
            <w:noWrap w:val="0"/>
            <w:vAlign w:val="top"/>
          </w:tcPr>
          <w:p>
            <w:pPr>
              <w:pStyle w:val="14"/>
              <w:spacing w:before="155" w:line="242" w:lineRule="auto"/>
              <w:ind w:left="298" w:right="168" w:hanging="120"/>
              <w:rPr>
                <w:color w:val="auto"/>
                <w:sz w:val="24"/>
                <w:highlight w:val="none"/>
              </w:rPr>
            </w:pPr>
            <w:r>
              <w:rPr>
                <w:color w:val="auto"/>
                <w:sz w:val="24"/>
                <w:highlight w:val="none"/>
              </w:rPr>
              <w:t>自有或租赁</w:t>
            </w:r>
          </w:p>
        </w:tc>
        <w:tc>
          <w:tcPr>
            <w:tcW w:w="1329" w:type="dxa"/>
            <w:noWrap w:val="0"/>
            <w:vAlign w:val="top"/>
          </w:tcPr>
          <w:p>
            <w:pPr>
              <w:pStyle w:val="14"/>
              <w:tabs>
                <w:tab w:val="left" w:pos="844"/>
              </w:tabs>
              <w:spacing w:before="155" w:line="242" w:lineRule="auto"/>
              <w:ind w:left="244" w:right="172" w:hanging="60"/>
              <w:rPr>
                <w:color w:val="auto"/>
                <w:sz w:val="24"/>
                <w:highlight w:val="none"/>
              </w:rPr>
            </w:pPr>
            <w:r>
              <w:rPr>
                <w:color w:val="auto"/>
                <w:sz w:val="24"/>
                <w:highlight w:val="none"/>
              </w:rPr>
              <w:t>计划进</w:t>
            </w:r>
            <w:r>
              <w:rPr>
                <w:color w:val="auto"/>
                <w:spacing w:val="-17"/>
                <w:sz w:val="24"/>
                <w:highlight w:val="none"/>
              </w:rPr>
              <w:t>场</w:t>
            </w:r>
            <w:r>
              <w:rPr>
                <w:color w:val="auto"/>
                <w:sz w:val="24"/>
                <w:highlight w:val="none"/>
              </w:rPr>
              <w:t>时</w:t>
            </w:r>
            <w:r>
              <w:rPr>
                <w:color w:val="auto"/>
                <w:sz w:val="24"/>
                <w:highlight w:val="none"/>
              </w:rPr>
              <w:tab/>
            </w:r>
            <w:r>
              <w:rPr>
                <w:color w:val="auto"/>
                <w:sz w:val="24"/>
                <w:highlight w:val="none"/>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35" w:type="dxa"/>
            <w:noWrap w:val="0"/>
            <w:vAlign w:val="top"/>
          </w:tcPr>
          <w:p>
            <w:pPr>
              <w:pStyle w:val="14"/>
              <w:rPr>
                <w:rFonts w:ascii="Times New Roman"/>
                <w:color w:val="auto"/>
                <w:sz w:val="22"/>
                <w:highlight w:val="none"/>
              </w:rPr>
            </w:pPr>
          </w:p>
        </w:tc>
        <w:tc>
          <w:tcPr>
            <w:tcW w:w="2805" w:type="dxa"/>
            <w:noWrap w:val="0"/>
            <w:vAlign w:val="top"/>
          </w:tcPr>
          <w:p>
            <w:pPr>
              <w:pStyle w:val="14"/>
              <w:rPr>
                <w:rFonts w:ascii="Times New Roman"/>
                <w:color w:val="auto"/>
                <w:sz w:val="22"/>
                <w:highlight w:val="none"/>
              </w:rPr>
            </w:pPr>
          </w:p>
        </w:tc>
        <w:tc>
          <w:tcPr>
            <w:tcW w:w="1290" w:type="dxa"/>
            <w:noWrap w:val="0"/>
            <w:vAlign w:val="top"/>
          </w:tcPr>
          <w:p>
            <w:pPr>
              <w:pStyle w:val="14"/>
              <w:rPr>
                <w:rFonts w:ascii="Times New Roman"/>
                <w:color w:val="auto"/>
                <w:sz w:val="22"/>
                <w:highlight w:val="none"/>
              </w:rPr>
            </w:pPr>
          </w:p>
        </w:tc>
        <w:tc>
          <w:tcPr>
            <w:tcW w:w="1155" w:type="dxa"/>
            <w:noWrap w:val="0"/>
            <w:vAlign w:val="top"/>
          </w:tcPr>
          <w:p>
            <w:pPr>
              <w:pStyle w:val="14"/>
              <w:rPr>
                <w:rFonts w:ascii="Times New Roman"/>
                <w:color w:val="auto"/>
                <w:sz w:val="22"/>
                <w:highlight w:val="none"/>
              </w:rPr>
            </w:pPr>
          </w:p>
        </w:tc>
        <w:tc>
          <w:tcPr>
            <w:tcW w:w="1007" w:type="dxa"/>
            <w:noWrap w:val="0"/>
            <w:vAlign w:val="top"/>
          </w:tcPr>
          <w:p>
            <w:pPr>
              <w:pStyle w:val="14"/>
              <w:rPr>
                <w:rFonts w:ascii="Times New Roman"/>
                <w:color w:val="auto"/>
                <w:sz w:val="22"/>
                <w:highlight w:val="none"/>
              </w:rPr>
            </w:pPr>
          </w:p>
        </w:tc>
        <w:tc>
          <w:tcPr>
            <w:tcW w:w="1079" w:type="dxa"/>
            <w:noWrap w:val="0"/>
            <w:vAlign w:val="top"/>
          </w:tcPr>
          <w:p>
            <w:pPr>
              <w:pStyle w:val="14"/>
              <w:rPr>
                <w:rFonts w:ascii="Times New Roman"/>
                <w:color w:val="auto"/>
                <w:sz w:val="22"/>
                <w:highlight w:val="none"/>
              </w:rPr>
            </w:pPr>
          </w:p>
        </w:tc>
        <w:tc>
          <w:tcPr>
            <w:tcW w:w="1329" w:type="dxa"/>
            <w:noWrap w:val="0"/>
            <w:vAlign w:val="top"/>
          </w:tcPr>
          <w:p>
            <w:pPr>
              <w:pStyle w:val="14"/>
              <w:rPr>
                <w:rFonts w:ascii="Times New Roman"/>
                <w:color w:val="auto"/>
                <w:sz w:val="22"/>
                <w:highlight w:val="none"/>
              </w:rPr>
            </w:pPr>
          </w:p>
        </w:tc>
      </w:tr>
    </w:tbl>
    <w:p>
      <w:pPr>
        <w:adjustRightInd w:val="0"/>
        <w:snapToGrid w:val="0"/>
        <w:spacing w:line="400" w:lineRule="exact"/>
        <w:jc w:val="left"/>
        <w:rPr>
          <w:rFonts w:hint="eastAsia" w:ascii="宋体" w:hAnsi="宋体" w:cs="宋体"/>
          <w:bCs/>
          <w:color w:val="auto"/>
          <w:szCs w:val="21"/>
          <w:highlight w:val="none"/>
          <w:lang w:bidi="he-IL"/>
        </w:rPr>
      </w:pPr>
      <w:r>
        <w:rPr>
          <w:rFonts w:hint="eastAsia" w:ascii="宋体" w:hAnsi="宋体" w:cs="宋体"/>
          <w:bCs/>
          <w:color w:val="auto"/>
          <w:szCs w:val="21"/>
          <w:highlight w:val="none"/>
          <w:lang w:bidi="he-IL"/>
        </w:rPr>
        <w:t>注：1、报价人根据本项目的工程量情况填报。一旦填写，所填机械必须在规定时间内进场。</w:t>
      </w:r>
    </w:p>
    <w:p>
      <w:pPr>
        <w:rPr>
          <w:rFonts w:hint="eastAsia"/>
          <w:color w:val="auto"/>
          <w:highlight w:val="none"/>
        </w:rPr>
      </w:pPr>
    </w:p>
    <w:p>
      <w:pPr>
        <w:rPr>
          <w:rFonts w:hint="eastAsia"/>
          <w:color w:val="auto"/>
          <w:highlight w:val="none"/>
        </w:rPr>
      </w:pPr>
    </w:p>
    <w:p>
      <w:pPr>
        <w:jc w:val="center"/>
        <w:rPr>
          <w:rFonts w:hint="eastAsia"/>
          <w:color w:val="auto"/>
          <w:sz w:val="24"/>
          <w:szCs w:val="24"/>
          <w:highlight w:val="none"/>
        </w:rPr>
      </w:pPr>
      <w:r>
        <w:rPr>
          <w:rFonts w:hint="eastAsia"/>
          <w:color w:val="auto"/>
          <w:highlight w:val="none"/>
        </w:rPr>
        <w:t xml:space="preserve">                     报价人</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（盖单位章）</w:t>
      </w:r>
    </w:p>
    <w:p>
      <w:pPr>
        <w:jc w:val="center"/>
        <w:rPr>
          <w:color w:val="auto"/>
          <w:sz w:val="24"/>
          <w:szCs w:val="24"/>
          <w:highlight w:val="none"/>
          <w:u w:val="single"/>
        </w:rPr>
      </w:pP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pPr>
        <w:spacing w:line="360" w:lineRule="auto"/>
        <w:rPr>
          <w:rFonts w:hint="eastAsia" w:ascii="宋体" w:hAnsi="宋体" w:cs="宋体"/>
          <w:b/>
          <w:color w:val="auto"/>
          <w:kern w:val="0"/>
          <w:sz w:val="24"/>
          <w:highlight w:val="none"/>
        </w:rPr>
      </w:pPr>
    </w:p>
    <w:p>
      <w:pPr>
        <w:spacing w:line="360" w:lineRule="auto"/>
        <w:rPr>
          <w:rFonts w:hint="eastAsia" w:ascii="宋体" w:hAnsi="宋体" w:cs="宋体"/>
          <w:b/>
          <w:color w:val="auto"/>
          <w:kern w:val="0"/>
          <w:sz w:val="24"/>
          <w:highlight w:val="none"/>
        </w:rPr>
      </w:pPr>
    </w:p>
    <w:p>
      <w:pPr>
        <w:spacing w:line="360" w:lineRule="auto"/>
        <w:rPr>
          <w:rFonts w:hint="eastAsia" w:ascii="宋体" w:hAnsi="宋体" w:cs="宋体"/>
          <w:b/>
          <w:color w:val="auto"/>
          <w:kern w:val="0"/>
          <w:sz w:val="24"/>
          <w:highlight w:val="none"/>
        </w:rPr>
      </w:pPr>
    </w:p>
    <w:p>
      <w:pPr>
        <w:spacing w:line="360" w:lineRule="auto"/>
        <w:rPr>
          <w:rFonts w:hint="eastAsia" w:ascii="宋体" w:hAnsi="宋体" w:cs="宋体"/>
          <w:b/>
          <w:color w:val="auto"/>
          <w:kern w:val="0"/>
          <w:sz w:val="24"/>
          <w:highlight w:val="none"/>
        </w:rPr>
      </w:pPr>
    </w:p>
    <w:p>
      <w:pPr>
        <w:spacing w:line="360" w:lineRule="auto"/>
        <w:rPr>
          <w:rFonts w:hint="eastAsia" w:ascii="宋体" w:hAnsi="宋体" w:cs="宋体"/>
          <w:b/>
          <w:color w:val="auto"/>
          <w:kern w:val="0"/>
          <w:sz w:val="24"/>
          <w:highlight w:val="none"/>
        </w:rPr>
      </w:pPr>
    </w:p>
    <w:p>
      <w:pPr>
        <w:spacing w:line="360" w:lineRule="auto"/>
        <w:rPr>
          <w:color w:val="auto"/>
          <w:highlight w:val="none"/>
        </w:rPr>
      </w:pPr>
      <w:r>
        <w:rPr>
          <w:rFonts w:hint="eastAsia" w:ascii="宋体" w:hAnsi="宋体" w:cs="宋体"/>
          <w:b/>
          <w:color w:val="auto"/>
          <w:kern w:val="0"/>
          <w:sz w:val="24"/>
          <w:highlight w:val="none"/>
        </w:rPr>
        <w:t>附表二：拟投入本工程的主要施工人员计划表</w:t>
      </w:r>
    </w:p>
    <w:p>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1、拟投入管理人员表</w:t>
      </w:r>
    </w:p>
    <w:p>
      <w:pPr>
        <w:spacing w:line="360" w:lineRule="auto"/>
        <w:jc w:val="center"/>
        <w:outlineLvl w:val="3"/>
        <w:rPr>
          <w:rFonts w:ascii="宋体" w:hAnsi="宋体"/>
          <w:b/>
          <w:color w:val="auto"/>
          <w:highlight w:val="none"/>
        </w:rPr>
      </w:pPr>
      <w:r>
        <w:rPr>
          <w:rFonts w:hint="eastAsia" w:ascii="宋体" w:hAnsi="宋体"/>
          <w:b/>
          <w:color w:val="auto"/>
          <w:highlight w:val="none"/>
        </w:rPr>
        <w:t>（此表必须填写）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010"/>
        <w:gridCol w:w="1032"/>
        <w:gridCol w:w="2227"/>
        <w:gridCol w:w="167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姓名</w:t>
            </w:r>
          </w:p>
        </w:tc>
        <w:tc>
          <w:tcPr>
            <w:tcW w:w="1010"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年龄</w:t>
            </w:r>
          </w:p>
        </w:tc>
        <w:tc>
          <w:tcPr>
            <w:tcW w:w="1032"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专业</w:t>
            </w:r>
          </w:p>
        </w:tc>
        <w:tc>
          <w:tcPr>
            <w:tcW w:w="2227"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职称</w:t>
            </w:r>
          </w:p>
        </w:tc>
        <w:tc>
          <w:tcPr>
            <w:tcW w:w="1670"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拟担任职务</w:t>
            </w:r>
          </w:p>
        </w:tc>
        <w:tc>
          <w:tcPr>
            <w:tcW w:w="2227" w:type="dxa"/>
            <w:noWrap w:val="0"/>
            <w:vAlign w:val="center"/>
          </w:tcPr>
          <w:p>
            <w:pPr>
              <w:adjustRightInd w:val="0"/>
              <w:snapToGrid w:val="0"/>
              <w:jc w:val="center"/>
              <w:rPr>
                <w:rFonts w:hint="eastAsia" w:ascii="宋体" w:hAnsi="宋体"/>
                <w:bCs/>
                <w:color w:val="auto"/>
                <w:spacing w:val="10"/>
                <w:sz w:val="24"/>
                <w:highlight w:val="none"/>
              </w:rPr>
            </w:pPr>
            <w:r>
              <w:rPr>
                <w:rFonts w:hint="eastAsia" w:ascii="宋体" w:hAnsi="宋体"/>
                <w:bCs/>
                <w:color w:val="auto"/>
                <w:spacing w:val="10"/>
                <w:sz w:val="24"/>
                <w:highlight w:val="none"/>
              </w:rPr>
              <w:t>相关经验年限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91" w:type="dxa"/>
            <w:noWrap w:val="0"/>
            <w:vAlign w:val="center"/>
          </w:tcPr>
          <w:p>
            <w:pPr>
              <w:adjustRightInd w:val="0"/>
              <w:snapToGrid w:val="0"/>
              <w:jc w:val="center"/>
              <w:rPr>
                <w:rFonts w:hint="eastAsia" w:ascii="宋体" w:hAnsi="宋体"/>
                <w:bCs/>
                <w:color w:val="auto"/>
                <w:spacing w:val="10"/>
                <w:sz w:val="24"/>
                <w:highlight w:val="none"/>
              </w:rPr>
            </w:pPr>
          </w:p>
        </w:tc>
        <w:tc>
          <w:tcPr>
            <w:tcW w:w="1010" w:type="dxa"/>
            <w:noWrap w:val="0"/>
            <w:vAlign w:val="center"/>
          </w:tcPr>
          <w:p>
            <w:pPr>
              <w:adjustRightInd w:val="0"/>
              <w:snapToGrid w:val="0"/>
              <w:jc w:val="center"/>
              <w:rPr>
                <w:rFonts w:hint="eastAsia" w:ascii="宋体" w:hAnsi="宋体"/>
                <w:bCs/>
                <w:color w:val="auto"/>
                <w:spacing w:val="10"/>
                <w:sz w:val="24"/>
                <w:highlight w:val="none"/>
              </w:rPr>
            </w:pPr>
          </w:p>
        </w:tc>
        <w:tc>
          <w:tcPr>
            <w:tcW w:w="1032"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c>
          <w:tcPr>
            <w:tcW w:w="1670" w:type="dxa"/>
            <w:noWrap w:val="0"/>
            <w:vAlign w:val="center"/>
          </w:tcPr>
          <w:p>
            <w:pPr>
              <w:adjustRightInd w:val="0"/>
              <w:snapToGrid w:val="0"/>
              <w:jc w:val="center"/>
              <w:rPr>
                <w:rFonts w:hint="eastAsia" w:ascii="宋体" w:hAnsi="宋体"/>
                <w:bCs/>
                <w:color w:val="auto"/>
                <w:spacing w:val="10"/>
                <w:sz w:val="24"/>
                <w:highlight w:val="none"/>
              </w:rPr>
            </w:pPr>
          </w:p>
        </w:tc>
        <w:tc>
          <w:tcPr>
            <w:tcW w:w="2227" w:type="dxa"/>
            <w:noWrap w:val="0"/>
            <w:vAlign w:val="center"/>
          </w:tcPr>
          <w:p>
            <w:pPr>
              <w:adjustRightInd w:val="0"/>
              <w:snapToGrid w:val="0"/>
              <w:jc w:val="center"/>
              <w:rPr>
                <w:rFonts w:hint="eastAsia" w:ascii="宋体" w:hAnsi="宋体"/>
                <w:bCs/>
                <w:color w:val="auto"/>
                <w:spacing w:val="10"/>
                <w:sz w:val="24"/>
                <w:highlight w:val="none"/>
              </w:rPr>
            </w:pPr>
          </w:p>
        </w:tc>
      </w:tr>
    </w:tbl>
    <w:p>
      <w:pPr>
        <w:rPr>
          <w:rFonts w:hint="eastAsia" w:ascii="宋体" w:hAnsi="宋体"/>
          <w:color w:val="auto"/>
          <w:sz w:val="24"/>
          <w:highlight w:val="none"/>
        </w:rPr>
      </w:pPr>
    </w:p>
    <w:p>
      <w:pPr>
        <w:spacing w:line="440" w:lineRule="exact"/>
        <w:ind w:firstLine="3570" w:firstLineChars="1700"/>
        <w:rPr>
          <w:rFonts w:hint="eastAsia" w:ascii="宋体" w:hAnsi="宋体"/>
          <w:color w:val="auto"/>
          <w:sz w:val="24"/>
          <w:szCs w:val="24"/>
          <w:highlight w:val="none"/>
        </w:rPr>
      </w:pPr>
      <w:r>
        <w:rPr>
          <w:rFonts w:hint="eastAsia" w:ascii="宋体" w:hAnsi="宋体"/>
          <w:color w:val="auto"/>
          <w:szCs w:val="21"/>
          <w:highlight w:val="none"/>
        </w:rPr>
        <w:t xml:space="preserve">  </w:t>
      </w: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440" w:lineRule="exact"/>
        <w:ind w:firstLine="4920" w:firstLineChars="205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p>
    <w:p>
      <w:pPr>
        <w:pStyle w:val="15"/>
        <w:jc w:val="center"/>
        <w:rPr>
          <w:rFonts w:hint="eastAsia" w:ascii="宋体" w:hAnsi="宋体"/>
          <w:b/>
          <w:color w:val="auto"/>
          <w:sz w:val="24"/>
          <w:highlight w:val="none"/>
        </w:rPr>
      </w:pPr>
      <w:r>
        <w:rPr>
          <w:rFonts w:hint="eastAsia" w:ascii="宋体" w:hAnsi="宋体"/>
          <w:b/>
          <w:color w:val="auto"/>
          <w:sz w:val="24"/>
          <w:highlight w:val="none"/>
        </w:rPr>
        <w:t>2、拟投入劳动力计划表</w:t>
      </w:r>
    </w:p>
    <w:p>
      <w:pPr>
        <w:pStyle w:val="15"/>
        <w:jc w:val="center"/>
        <w:rPr>
          <w:rFonts w:hint="eastAsia" w:ascii="宋体" w:hAnsi="宋体"/>
          <w:b/>
          <w:color w:val="auto"/>
          <w:sz w:val="24"/>
          <w:highlight w:val="none"/>
        </w:rPr>
      </w:pPr>
      <w:r>
        <w:rPr>
          <w:rFonts w:hint="eastAsia" w:ascii="宋体" w:hAnsi="宋体"/>
          <w:b/>
          <w:color w:val="auto"/>
          <w:sz w:val="24"/>
          <w:highlight w:val="none"/>
        </w:rPr>
        <w:t>（此表必须填写）</w:t>
      </w:r>
    </w:p>
    <w:p>
      <w:pPr>
        <w:pStyle w:val="15"/>
        <w:ind w:firstLine="6480" w:firstLineChars="2700"/>
        <w:rPr>
          <w:rFonts w:hint="eastAsia" w:ascii="宋体" w:hAnsi="宋体"/>
          <w:bCs/>
          <w:color w:val="auto"/>
          <w:sz w:val="24"/>
          <w:highlight w:val="none"/>
        </w:rPr>
      </w:pPr>
      <w:r>
        <w:rPr>
          <w:rFonts w:hint="eastAsia" w:ascii="宋体" w:hAnsi="宋体"/>
          <w:bCs/>
          <w:color w:val="auto"/>
          <w:sz w:val="24"/>
          <w:highlight w:val="none"/>
        </w:rPr>
        <w:t>单位：人</w:t>
      </w:r>
    </w:p>
    <w:tbl>
      <w:tblPr>
        <w:tblStyle w:val="11"/>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1504"/>
        <w:gridCol w:w="1504"/>
        <w:gridCol w:w="1504"/>
        <w:gridCol w:w="1504"/>
        <w:gridCol w:w="1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7" w:type="dxa"/>
            <w:vMerge w:val="restart"/>
            <w:noWrap w:val="0"/>
            <w:vAlign w:val="top"/>
          </w:tcPr>
          <w:p>
            <w:pPr>
              <w:pStyle w:val="14"/>
              <w:spacing w:before="11"/>
              <w:rPr>
                <w:color w:val="auto"/>
                <w:sz w:val="24"/>
                <w:highlight w:val="none"/>
              </w:rPr>
            </w:pPr>
          </w:p>
          <w:p>
            <w:pPr>
              <w:pStyle w:val="14"/>
              <w:spacing w:before="1"/>
              <w:ind w:left="498" w:right="488"/>
              <w:jc w:val="center"/>
              <w:rPr>
                <w:color w:val="auto"/>
                <w:sz w:val="24"/>
                <w:highlight w:val="none"/>
              </w:rPr>
            </w:pPr>
            <w:r>
              <w:rPr>
                <w:color w:val="auto"/>
                <w:sz w:val="24"/>
                <w:highlight w:val="none"/>
              </w:rPr>
              <w:t>工种</w:t>
            </w:r>
          </w:p>
        </w:tc>
        <w:tc>
          <w:tcPr>
            <w:tcW w:w="7522" w:type="dxa"/>
            <w:gridSpan w:val="5"/>
            <w:noWrap w:val="0"/>
            <w:vAlign w:val="top"/>
          </w:tcPr>
          <w:p>
            <w:pPr>
              <w:pStyle w:val="14"/>
              <w:spacing w:before="115"/>
              <w:ind w:left="2080"/>
              <w:rPr>
                <w:color w:val="auto"/>
                <w:sz w:val="24"/>
                <w:highlight w:val="none"/>
              </w:rPr>
            </w:pPr>
            <w:r>
              <w:rPr>
                <w:color w:val="auto"/>
                <w:sz w:val="24"/>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17" w:type="dxa"/>
            <w:vMerge w:val="continue"/>
            <w:tcBorders>
              <w:top w:val="nil"/>
            </w:tcBorders>
            <w:noWrap w:val="0"/>
            <w:vAlign w:val="top"/>
          </w:tcPr>
          <w:p>
            <w:pPr>
              <w:rPr>
                <w:color w:val="auto"/>
                <w:sz w:val="2"/>
                <w:szCs w:val="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7"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7"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7"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7"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17"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4" w:type="dxa"/>
            <w:noWrap w:val="0"/>
            <w:vAlign w:val="top"/>
          </w:tcPr>
          <w:p>
            <w:pPr>
              <w:pStyle w:val="14"/>
              <w:rPr>
                <w:rFonts w:ascii="Times New Roman"/>
                <w:color w:val="auto"/>
                <w:sz w:val="22"/>
                <w:highlight w:val="none"/>
              </w:rPr>
            </w:pPr>
          </w:p>
        </w:tc>
        <w:tc>
          <w:tcPr>
            <w:tcW w:w="1506" w:type="dxa"/>
            <w:noWrap w:val="0"/>
            <w:vAlign w:val="top"/>
          </w:tcPr>
          <w:p>
            <w:pPr>
              <w:pStyle w:val="14"/>
              <w:rPr>
                <w:rFonts w:ascii="Times New Roman"/>
                <w:color w:val="auto"/>
                <w:sz w:val="22"/>
                <w:highlight w:val="none"/>
              </w:rPr>
            </w:pPr>
          </w:p>
        </w:tc>
      </w:tr>
    </w:tbl>
    <w:p>
      <w:pPr>
        <w:pStyle w:val="15"/>
        <w:rPr>
          <w:rFonts w:hint="eastAsia" w:ascii="宋体" w:hAnsi="宋体"/>
          <w:b/>
          <w:color w:val="auto"/>
          <w:sz w:val="24"/>
          <w:highlight w:val="none"/>
        </w:rPr>
      </w:pPr>
    </w:p>
    <w:p>
      <w:pPr>
        <w:spacing w:line="440" w:lineRule="exact"/>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pacing w:line="440" w:lineRule="exact"/>
        <w:ind w:firstLine="4920" w:firstLineChars="205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15"/>
        <w:rPr>
          <w:rFonts w:hint="eastAsia" w:ascii="宋体" w:hAnsi="宋体"/>
          <w:b/>
          <w:color w:val="auto"/>
          <w:sz w:val="24"/>
          <w:highlight w:val="none"/>
        </w:rPr>
      </w:pPr>
      <w:r>
        <w:rPr>
          <w:rFonts w:hint="eastAsia" w:ascii="宋体" w:hAnsi="宋体"/>
          <w:b/>
          <w:color w:val="auto"/>
          <w:sz w:val="24"/>
          <w:highlight w:val="none"/>
        </w:rPr>
        <w:t>附表三：报价人工程业绩一览表</w:t>
      </w:r>
    </w:p>
    <w:bookmarkEnd w:id="3"/>
    <w:p>
      <w:pPr>
        <w:spacing w:before="158"/>
        <w:ind w:right="124"/>
        <w:jc w:val="center"/>
        <w:rPr>
          <w:b/>
          <w:color w:val="auto"/>
          <w:sz w:val="24"/>
          <w:highlight w:val="none"/>
        </w:rPr>
      </w:pPr>
      <w:r>
        <w:rPr>
          <w:b/>
          <w:color w:val="auto"/>
          <w:sz w:val="24"/>
          <w:highlight w:val="none"/>
        </w:rPr>
        <w:t>（此表必须填写）</w:t>
      </w:r>
    </w:p>
    <w:tbl>
      <w:tblPr>
        <w:tblStyle w:val="11"/>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2162"/>
        <w:gridCol w:w="1923"/>
        <w:gridCol w:w="1391"/>
        <w:gridCol w:w="1626"/>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80" w:type="dxa"/>
            <w:noWrap w:val="0"/>
            <w:vAlign w:val="top"/>
          </w:tcPr>
          <w:p>
            <w:pPr>
              <w:pStyle w:val="14"/>
              <w:spacing w:before="128" w:line="280" w:lineRule="auto"/>
              <w:ind w:left="170" w:right="157"/>
              <w:rPr>
                <w:color w:val="auto"/>
                <w:sz w:val="24"/>
                <w:highlight w:val="none"/>
              </w:rPr>
            </w:pPr>
            <w:r>
              <w:rPr>
                <w:color w:val="auto"/>
                <w:sz w:val="24"/>
                <w:highlight w:val="none"/>
              </w:rPr>
              <w:t>序号</w:t>
            </w:r>
          </w:p>
        </w:tc>
        <w:tc>
          <w:tcPr>
            <w:tcW w:w="2162" w:type="dxa"/>
            <w:noWrap w:val="0"/>
            <w:vAlign w:val="top"/>
          </w:tcPr>
          <w:p>
            <w:pPr>
              <w:pStyle w:val="14"/>
              <w:rPr>
                <w:b/>
                <w:color w:val="auto"/>
                <w:sz w:val="24"/>
                <w:highlight w:val="none"/>
              </w:rPr>
            </w:pPr>
          </w:p>
          <w:p>
            <w:pPr>
              <w:pStyle w:val="14"/>
              <w:spacing w:before="1"/>
              <w:ind w:left="600"/>
              <w:rPr>
                <w:color w:val="auto"/>
                <w:sz w:val="24"/>
                <w:highlight w:val="none"/>
              </w:rPr>
            </w:pPr>
            <w:r>
              <w:rPr>
                <w:color w:val="auto"/>
                <w:sz w:val="24"/>
                <w:highlight w:val="none"/>
              </w:rPr>
              <w:t>工程名称</w:t>
            </w:r>
          </w:p>
        </w:tc>
        <w:tc>
          <w:tcPr>
            <w:tcW w:w="1923" w:type="dxa"/>
            <w:noWrap w:val="0"/>
            <w:vAlign w:val="top"/>
          </w:tcPr>
          <w:p>
            <w:pPr>
              <w:pStyle w:val="14"/>
              <w:rPr>
                <w:b/>
                <w:color w:val="auto"/>
                <w:sz w:val="24"/>
                <w:highlight w:val="none"/>
              </w:rPr>
            </w:pPr>
          </w:p>
          <w:p>
            <w:pPr>
              <w:pStyle w:val="14"/>
              <w:spacing w:before="1"/>
              <w:ind w:left="361"/>
              <w:rPr>
                <w:color w:val="auto"/>
                <w:sz w:val="24"/>
                <w:highlight w:val="none"/>
              </w:rPr>
            </w:pPr>
            <w:r>
              <w:rPr>
                <w:color w:val="auto"/>
                <w:sz w:val="24"/>
                <w:highlight w:val="none"/>
              </w:rPr>
              <w:t>发包人名称</w:t>
            </w:r>
          </w:p>
        </w:tc>
        <w:tc>
          <w:tcPr>
            <w:tcW w:w="1391" w:type="dxa"/>
            <w:noWrap w:val="0"/>
            <w:vAlign w:val="top"/>
          </w:tcPr>
          <w:p>
            <w:pPr>
              <w:pStyle w:val="14"/>
              <w:spacing w:before="128"/>
              <w:ind w:left="214"/>
              <w:rPr>
                <w:color w:val="auto"/>
                <w:sz w:val="24"/>
                <w:highlight w:val="none"/>
              </w:rPr>
            </w:pPr>
            <w:r>
              <w:rPr>
                <w:color w:val="auto"/>
                <w:sz w:val="24"/>
                <w:highlight w:val="none"/>
              </w:rPr>
              <w:t>工程总价</w:t>
            </w:r>
          </w:p>
          <w:p>
            <w:pPr>
              <w:pStyle w:val="14"/>
              <w:spacing w:before="53"/>
              <w:ind w:left="214"/>
              <w:rPr>
                <w:color w:val="auto"/>
                <w:sz w:val="24"/>
                <w:highlight w:val="none"/>
              </w:rPr>
            </w:pPr>
            <w:r>
              <w:rPr>
                <w:color w:val="auto"/>
                <w:sz w:val="24"/>
                <w:highlight w:val="none"/>
              </w:rPr>
              <w:t>（万元）</w:t>
            </w:r>
          </w:p>
        </w:tc>
        <w:tc>
          <w:tcPr>
            <w:tcW w:w="1626" w:type="dxa"/>
            <w:noWrap w:val="0"/>
            <w:vAlign w:val="top"/>
          </w:tcPr>
          <w:p>
            <w:pPr>
              <w:pStyle w:val="14"/>
              <w:spacing w:before="128" w:line="280" w:lineRule="auto"/>
              <w:ind w:left="452" w:right="141" w:hanging="300"/>
              <w:rPr>
                <w:color w:val="auto"/>
                <w:sz w:val="24"/>
                <w:highlight w:val="none"/>
              </w:rPr>
            </w:pPr>
            <w:r>
              <w:rPr>
                <w:color w:val="auto"/>
                <w:sz w:val="24"/>
                <w:highlight w:val="none"/>
              </w:rPr>
              <w:t>合同工期/实际工期</w:t>
            </w:r>
          </w:p>
        </w:tc>
        <w:tc>
          <w:tcPr>
            <w:tcW w:w="1447" w:type="dxa"/>
            <w:noWrap w:val="0"/>
            <w:vAlign w:val="top"/>
          </w:tcPr>
          <w:p>
            <w:pPr>
              <w:pStyle w:val="14"/>
              <w:rPr>
                <w:b/>
                <w:color w:val="auto"/>
                <w:sz w:val="24"/>
                <w:highlight w:val="none"/>
              </w:rPr>
            </w:pPr>
          </w:p>
          <w:p>
            <w:pPr>
              <w:pStyle w:val="14"/>
              <w:spacing w:before="1"/>
              <w:ind w:left="242"/>
              <w:rPr>
                <w:color w:val="auto"/>
                <w:sz w:val="24"/>
                <w:highlight w:val="none"/>
              </w:rPr>
            </w:pPr>
            <w:r>
              <w:rPr>
                <w:color w:val="auto"/>
                <w:sz w:val="24"/>
                <w:highlight w:val="none"/>
              </w:rPr>
              <w:t>完工日期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80" w:type="dxa"/>
            <w:noWrap w:val="0"/>
            <w:vAlign w:val="top"/>
          </w:tcPr>
          <w:p>
            <w:pPr>
              <w:pStyle w:val="14"/>
              <w:rPr>
                <w:rFonts w:ascii="Times New Roman"/>
                <w:color w:val="auto"/>
                <w:sz w:val="22"/>
                <w:highlight w:val="none"/>
              </w:rPr>
            </w:pPr>
          </w:p>
        </w:tc>
        <w:tc>
          <w:tcPr>
            <w:tcW w:w="2162" w:type="dxa"/>
            <w:noWrap w:val="0"/>
            <w:vAlign w:val="top"/>
          </w:tcPr>
          <w:p>
            <w:pPr>
              <w:pStyle w:val="14"/>
              <w:rPr>
                <w:rFonts w:ascii="Times New Roman"/>
                <w:color w:val="auto"/>
                <w:sz w:val="22"/>
                <w:highlight w:val="none"/>
              </w:rPr>
            </w:pPr>
          </w:p>
        </w:tc>
        <w:tc>
          <w:tcPr>
            <w:tcW w:w="1923" w:type="dxa"/>
            <w:noWrap w:val="0"/>
            <w:vAlign w:val="top"/>
          </w:tcPr>
          <w:p>
            <w:pPr>
              <w:pStyle w:val="14"/>
              <w:rPr>
                <w:rFonts w:ascii="Times New Roman"/>
                <w:color w:val="auto"/>
                <w:sz w:val="22"/>
                <w:highlight w:val="none"/>
              </w:rPr>
            </w:pPr>
          </w:p>
        </w:tc>
        <w:tc>
          <w:tcPr>
            <w:tcW w:w="1391" w:type="dxa"/>
            <w:noWrap w:val="0"/>
            <w:vAlign w:val="top"/>
          </w:tcPr>
          <w:p>
            <w:pPr>
              <w:pStyle w:val="14"/>
              <w:rPr>
                <w:rFonts w:ascii="Times New Roman"/>
                <w:color w:val="auto"/>
                <w:sz w:val="22"/>
                <w:highlight w:val="none"/>
              </w:rPr>
            </w:pPr>
          </w:p>
        </w:tc>
        <w:tc>
          <w:tcPr>
            <w:tcW w:w="1626" w:type="dxa"/>
            <w:noWrap w:val="0"/>
            <w:vAlign w:val="top"/>
          </w:tcPr>
          <w:p>
            <w:pPr>
              <w:pStyle w:val="14"/>
              <w:rPr>
                <w:rFonts w:ascii="Times New Roman"/>
                <w:color w:val="auto"/>
                <w:sz w:val="22"/>
                <w:highlight w:val="none"/>
              </w:rPr>
            </w:pPr>
          </w:p>
        </w:tc>
        <w:tc>
          <w:tcPr>
            <w:tcW w:w="1447"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80" w:type="dxa"/>
            <w:noWrap w:val="0"/>
            <w:vAlign w:val="top"/>
          </w:tcPr>
          <w:p>
            <w:pPr>
              <w:pStyle w:val="14"/>
              <w:rPr>
                <w:rFonts w:ascii="Times New Roman"/>
                <w:color w:val="auto"/>
                <w:sz w:val="22"/>
                <w:highlight w:val="none"/>
              </w:rPr>
            </w:pPr>
          </w:p>
        </w:tc>
        <w:tc>
          <w:tcPr>
            <w:tcW w:w="2162" w:type="dxa"/>
            <w:noWrap w:val="0"/>
            <w:vAlign w:val="top"/>
          </w:tcPr>
          <w:p>
            <w:pPr>
              <w:pStyle w:val="14"/>
              <w:rPr>
                <w:rFonts w:ascii="Times New Roman"/>
                <w:color w:val="auto"/>
                <w:sz w:val="22"/>
                <w:highlight w:val="none"/>
              </w:rPr>
            </w:pPr>
          </w:p>
        </w:tc>
        <w:tc>
          <w:tcPr>
            <w:tcW w:w="1923" w:type="dxa"/>
            <w:noWrap w:val="0"/>
            <w:vAlign w:val="top"/>
          </w:tcPr>
          <w:p>
            <w:pPr>
              <w:pStyle w:val="14"/>
              <w:rPr>
                <w:rFonts w:ascii="Times New Roman"/>
                <w:color w:val="auto"/>
                <w:sz w:val="22"/>
                <w:highlight w:val="none"/>
              </w:rPr>
            </w:pPr>
          </w:p>
        </w:tc>
        <w:tc>
          <w:tcPr>
            <w:tcW w:w="1391" w:type="dxa"/>
            <w:noWrap w:val="0"/>
            <w:vAlign w:val="top"/>
          </w:tcPr>
          <w:p>
            <w:pPr>
              <w:pStyle w:val="14"/>
              <w:rPr>
                <w:rFonts w:ascii="Times New Roman"/>
                <w:color w:val="auto"/>
                <w:sz w:val="22"/>
                <w:highlight w:val="none"/>
              </w:rPr>
            </w:pPr>
          </w:p>
        </w:tc>
        <w:tc>
          <w:tcPr>
            <w:tcW w:w="1626" w:type="dxa"/>
            <w:noWrap w:val="0"/>
            <w:vAlign w:val="top"/>
          </w:tcPr>
          <w:p>
            <w:pPr>
              <w:pStyle w:val="14"/>
              <w:rPr>
                <w:rFonts w:ascii="Times New Roman"/>
                <w:color w:val="auto"/>
                <w:sz w:val="22"/>
                <w:highlight w:val="none"/>
              </w:rPr>
            </w:pPr>
          </w:p>
        </w:tc>
        <w:tc>
          <w:tcPr>
            <w:tcW w:w="1447"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80" w:type="dxa"/>
            <w:noWrap w:val="0"/>
            <w:vAlign w:val="top"/>
          </w:tcPr>
          <w:p>
            <w:pPr>
              <w:pStyle w:val="14"/>
              <w:rPr>
                <w:rFonts w:ascii="Times New Roman"/>
                <w:color w:val="auto"/>
                <w:sz w:val="22"/>
                <w:highlight w:val="none"/>
              </w:rPr>
            </w:pPr>
          </w:p>
        </w:tc>
        <w:tc>
          <w:tcPr>
            <w:tcW w:w="2162" w:type="dxa"/>
            <w:noWrap w:val="0"/>
            <w:vAlign w:val="top"/>
          </w:tcPr>
          <w:p>
            <w:pPr>
              <w:pStyle w:val="14"/>
              <w:rPr>
                <w:rFonts w:ascii="Times New Roman"/>
                <w:color w:val="auto"/>
                <w:sz w:val="22"/>
                <w:highlight w:val="none"/>
              </w:rPr>
            </w:pPr>
          </w:p>
        </w:tc>
        <w:tc>
          <w:tcPr>
            <w:tcW w:w="1923" w:type="dxa"/>
            <w:noWrap w:val="0"/>
            <w:vAlign w:val="top"/>
          </w:tcPr>
          <w:p>
            <w:pPr>
              <w:pStyle w:val="14"/>
              <w:rPr>
                <w:rFonts w:ascii="Times New Roman"/>
                <w:color w:val="auto"/>
                <w:sz w:val="22"/>
                <w:highlight w:val="none"/>
              </w:rPr>
            </w:pPr>
          </w:p>
        </w:tc>
        <w:tc>
          <w:tcPr>
            <w:tcW w:w="1391" w:type="dxa"/>
            <w:noWrap w:val="0"/>
            <w:vAlign w:val="top"/>
          </w:tcPr>
          <w:p>
            <w:pPr>
              <w:pStyle w:val="14"/>
              <w:rPr>
                <w:rFonts w:ascii="Times New Roman"/>
                <w:color w:val="auto"/>
                <w:sz w:val="22"/>
                <w:highlight w:val="none"/>
              </w:rPr>
            </w:pPr>
          </w:p>
        </w:tc>
        <w:tc>
          <w:tcPr>
            <w:tcW w:w="1626" w:type="dxa"/>
            <w:noWrap w:val="0"/>
            <w:vAlign w:val="top"/>
          </w:tcPr>
          <w:p>
            <w:pPr>
              <w:pStyle w:val="14"/>
              <w:rPr>
                <w:rFonts w:ascii="Times New Roman"/>
                <w:color w:val="auto"/>
                <w:sz w:val="22"/>
                <w:highlight w:val="none"/>
              </w:rPr>
            </w:pPr>
          </w:p>
        </w:tc>
        <w:tc>
          <w:tcPr>
            <w:tcW w:w="1447" w:type="dxa"/>
            <w:noWrap w:val="0"/>
            <w:vAlign w:val="top"/>
          </w:tcPr>
          <w:p>
            <w:pPr>
              <w:pStyle w:val="14"/>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580" w:type="dxa"/>
            <w:noWrap w:val="0"/>
            <w:vAlign w:val="top"/>
          </w:tcPr>
          <w:p>
            <w:pPr>
              <w:pStyle w:val="14"/>
              <w:rPr>
                <w:rFonts w:ascii="Times New Roman"/>
                <w:color w:val="auto"/>
                <w:sz w:val="22"/>
                <w:highlight w:val="none"/>
              </w:rPr>
            </w:pPr>
          </w:p>
        </w:tc>
        <w:tc>
          <w:tcPr>
            <w:tcW w:w="2162" w:type="dxa"/>
            <w:noWrap w:val="0"/>
            <w:vAlign w:val="top"/>
          </w:tcPr>
          <w:p>
            <w:pPr>
              <w:pStyle w:val="14"/>
              <w:rPr>
                <w:rFonts w:ascii="Times New Roman"/>
                <w:color w:val="auto"/>
                <w:sz w:val="22"/>
                <w:highlight w:val="none"/>
              </w:rPr>
            </w:pPr>
          </w:p>
        </w:tc>
        <w:tc>
          <w:tcPr>
            <w:tcW w:w="1923" w:type="dxa"/>
            <w:noWrap w:val="0"/>
            <w:vAlign w:val="top"/>
          </w:tcPr>
          <w:p>
            <w:pPr>
              <w:pStyle w:val="14"/>
              <w:rPr>
                <w:rFonts w:ascii="Times New Roman"/>
                <w:color w:val="auto"/>
                <w:sz w:val="22"/>
                <w:highlight w:val="none"/>
              </w:rPr>
            </w:pPr>
          </w:p>
        </w:tc>
        <w:tc>
          <w:tcPr>
            <w:tcW w:w="1391" w:type="dxa"/>
            <w:noWrap w:val="0"/>
            <w:vAlign w:val="top"/>
          </w:tcPr>
          <w:p>
            <w:pPr>
              <w:pStyle w:val="14"/>
              <w:rPr>
                <w:rFonts w:ascii="Times New Roman"/>
                <w:color w:val="auto"/>
                <w:sz w:val="22"/>
                <w:highlight w:val="none"/>
              </w:rPr>
            </w:pPr>
          </w:p>
        </w:tc>
        <w:tc>
          <w:tcPr>
            <w:tcW w:w="1626" w:type="dxa"/>
            <w:noWrap w:val="0"/>
            <w:vAlign w:val="top"/>
          </w:tcPr>
          <w:p>
            <w:pPr>
              <w:pStyle w:val="14"/>
              <w:rPr>
                <w:rFonts w:ascii="Times New Roman"/>
                <w:color w:val="auto"/>
                <w:sz w:val="22"/>
                <w:highlight w:val="none"/>
              </w:rPr>
            </w:pPr>
          </w:p>
        </w:tc>
        <w:tc>
          <w:tcPr>
            <w:tcW w:w="1447" w:type="dxa"/>
            <w:noWrap w:val="0"/>
            <w:vAlign w:val="top"/>
          </w:tcPr>
          <w:p>
            <w:pPr>
              <w:pStyle w:val="14"/>
              <w:rPr>
                <w:rFonts w:ascii="Times New Roman"/>
                <w:color w:val="auto"/>
                <w:sz w:val="22"/>
                <w:highlight w:val="none"/>
              </w:rPr>
            </w:pPr>
          </w:p>
        </w:tc>
      </w:tr>
    </w:tbl>
    <w:p>
      <w:pPr>
        <w:pStyle w:val="15"/>
        <w:ind w:firstLine="422" w:firstLineChars="200"/>
        <w:rPr>
          <w:rFonts w:hint="eastAsia" w:ascii="宋体" w:hAnsi="宋体"/>
          <w:b/>
          <w:color w:val="auto"/>
          <w:szCs w:val="21"/>
          <w:highlight w:val="none"/>
        </w:rPr>
      </w:pPr>
      <w:r>
        <w:rPr>
          <w:rFonts w:hint="eastAsia" w:ascii="宋体" w:hAnsi="宋体"/>
          <w:b/>
          <w:color w:val="auto"/>
          <w:szCs w:val="21"/>
          <w:highlight w:val="none"/>
        </w:rPr>
        <w:t>备注：报价人必须如实填写此表，并将工程合同复印件后附在报价文件中。采购人将在评标结束后，要求成交推荐人提供此表所列工程对应的工程合同原件来证明已完工程的真实性。如发现报价人弄虚作假，将按废标处理，并停止一年的报价资格。</w:t>
      </w:r>
    </w:p>
    <w:p>
      <w:pPr>
        <w:spacing w:line="440" w:lineRule="exact"/>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pStyle w:val="15"/>
        <w:ind w:firstLine="4560" w:firstLineChars="1900"/>
        <w:rPr>
          <w:rFonts w:hint="eastAsia" w:ascii="宋体" w:hAnsi="宋体"/>
          <w:b/>
          <w:color w:val="auto"/>
          <w:sz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15"/>
        <w:rPr>
          <w:rFonts w:hint="eastAsia" w:ascii="宋体" w:hAnsi="宋体"/>
          <w:b/>
          <w:color w:val="auto"/>
          <w:sz w:val="24"/>
          <w:highlight w:val="none"/>
        </w:rPr>
      </w:pPr>
    </w:p>
    <w:p>
      <w:pPr>
        <w:pStyle w:val="15"/>
        <w:rPr>
          <w:b/>
          <w:color w:val="auto"/>
          <w:sz w:val="24"/>
          <w:highlight w:val="none"/>
        </w:rPr>
      </w:pPr>
    </w:p>
    <w:p>
      <w:pPr>
        <w:pStyle w:val="15"/>
        <w:rPr>
          <w:rFonts w:ascii="宋体" w:hAnsi="宋体"/>
          <w:b/>
          <w:color w:val="auto"/>
          <w:sz w:val="24"/>
          <w:highlight w:val="none"/>
        </w:rPr>
      </w:pPr>
      <w:bookmarkStart w:id="4" w:name="_GoBack"/>
      <w:bookmarkEnd w:id="4"/>
      <w:r>
        <w:rPr>
          <w:b/>
          <w:color w:val="auto"/>
          <w:sz w:val="24"/>
          <w:highlight w:val="none"/>
        </w:rPr>
        <w:t>附表四：</w:t>
      </w:r>
      <w:r>
        <w:rPr>
          <w:rFonts w:hint="eastAsia"/>
          <w:b/>
          <w:color w:val="auto"/>
          <w:sz w:val="24"/>
          <w:highlight w:val="none"/>
        </w:rPr>
        <w:t>报价人一般情况表</w:t>
      </w:r>
    </w:p>
    <w:p>
      <w:pPr>
        <w:pStyle w:val="15"/>
        <w:rPr>
          <w:rFonts w:ascii="宋体" w:hAnsi="宋体"/>
          <w:b/>
          <w:color w:val="auto"/>
          <w:sz w:val="24"/>
          <w:highlight w:val="none"/>
        </w:rPr>
      </w:pPr>
      <w:r>
        <w:rPr>
          <w:rFonts w:hint="eastAsia"/>
          <w:color w:val="auto"/>
          <w:sz w:val="24"/>
          <w:highlight w:val="none"/>
        </w:rPr>
        <w:t>报价人</w:t>
      </w:r>
      <w:r>
        <w:rPr>
          <w:color w:val="auto"/>
          <w:sz w:val="24"/>
          <w:highlight w:val="none"/>
        </w:rPr>
        <w:t>：</w:t>
      </w:r>
    </w:p>
    <w:tbl>
      <w:tblPr>
        <w:tblStyle w:val="11"/>
        <w:tblW w:w="0" w:type="auto"/>
        <w:tblInd w:w="19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28"/>
        <w:gridCol w:w="1414"/>
        <w:gridCol w:w="897"/>
        <w:gridCol w:w="1452"/>
        <w:gridCol w:w="1070"/>
        <w:gridCol w:w="1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2128" w:type="dxa"/>
            <w:noWrap w:val="0"/>
            <w:vAlign w:val="top"/>
          </w:tcPr>
          <w:p>
            <w:pPr>
              <w:pStyle w:val="14"/>
              <w:spacing w:before="170"/>
              <w:ind w:left="140"/>
              <w:rPr>
                <w:color w:val="auto"/>
                <w:sz w:val="24"/>
                <w:highlight w:val="none"/>
              </w:rPr>
            </w:pPr>
            <w:r>
              <w:rPr>
                <w:rFonts w:hint="eastAsia"/>
                <w:color w:val="auto"/>
                <w:sz w:val="24"/>
                <w:highlight w:val="none"/>
              </w:rPr>
              <w:t>报价</w:t>
            </w:r>
            <w:r>
              <w:rPr>
                <w:color w:val="auto"/>
                <w:sz w:val="24"/>
                <w:highlight w:val="none"/>
              </w:rPr>
              <w:t>申请人全称</w:t>
            </w:r>
          </w:p>
        </w:tc>
        <w:tc>
          <w:tcPr>
            <w:tcW w:w="2311" w:type="dxa"/>
            <w:gridSpan w:val="2"/>
            <w:noWrap w:val="0"/>
            <w:vAlign w:val="top"/>
          </w:tcPr>
          <w:p>
            <w:pPr>
              <w:pStyle w:val="14"/>
              <w:rPr>
                <w:rFonts w:ascii="Times New Roman"/>
                <w:color w:val="auto"/>
                <w:sz w:val="22"/>
                <w:highlight w:val="none"/>
              </w:rPr>
            </w:pPr>
          </w:p>
        </w:tc>
        <w:tc>
          <w:tcPr>
            <w:tcW w:w="2522" w:type="dxa"/>
            <w:gridSpan w:val="2"/>
            <w:noWrap w:val="0"/>
            <w:vAlign w:val="top"/>
          </w:tcPr>
          <w:p>
            <w:pPr>
              <w:pStyle w:val="14"/>
              <w:spacing w:before="170"/>
              <w:ind w:left="777"/>
              <w:rPr>
                <w:color w:val="auto"/>
                <w:sz w:val="24"/>
                <w:highlight w:val="none"/>
              </w:rPr>
            </w:pPr>
            <w:r>
              <w:rPr>
                <w:color w:val="auto"/>
                <w:sz w:val="24"/>
                <w:highlight w:val="none"/>
              </w:rPr>
              <w:t>主要业务</w:t>
            </w:r>
          </w:p>
        </w:tc>
        <w:tc>
          <w:tcPr>
            <w:tcW w:w="1996" w:type="dxa"/>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2128" w:type="dxa"/>
            <w:noWrap w:val="0"/>
            <w:vAlign w:val="top"/>
          </w:tcPr>
          <w:p>
            <w:pPr>
              <w:pStyle w:val="14"/>
              <w:spacing w:before="171"/>
              <w:ind w:left="342"/>
              <w:rPr>
                <w:color w:val="auto"/>
                <w:sz w:val="24"/>
                <w:highlight w:val="none"/>
              </w:rPr>
            </w:pPr>
            <w:r>
              <w:rPr>
                <w:color w:val="auto"/>
                <w:sz w:val="24"/>
                <w:highlight w:val="none"/>
              </w:rPr>
              <w:t>企业资质等级</w:t>
            </w:r>
          </w:p>
        </w:tc>
        <w:tc>
          <w:tcPr>
            <w:tcW w:w="2311" w:type="dxa"/>
            <w:gridSpan w:val="2"/>
            <w:noWrap w:val="0"/>
            <w:vAlign w:val="top"/>
          </w:tcPr>
          <w:p>
            <w:pPr>
              <w:pStyle w:val="14"/>
              <w:rPr>
                <w:rFonts w:ascii="Times New Roman"/>
                <w:color w:val="auto"/>
                <w:sz w:val="22"/>
                <w:highlight w:val="none"/>
              </w:rPr>
            </w:pPr>
          </w:p>
        </w:tc>
        <w:tc>
          <w:tcPr>
            <w:tcW w:w="2522" w:type="dxa"/>
            <w:gridSpan w:val="2"/>
            <w:noWrap w:val="0"/>
            <w:vAlign w:val="top"/>
          </w:tcPr>
          <w:p>
            <w:pPr>
              <w:pStyle w:val="14"/>
              <w:spacing w:before="171"/>
              <w:ind w:left="19"/>
              <w:rPr>
                <w:color w:val="auto"/>
                <w:sz w:val="24"/>
                <w:highlight w:val="none"/>
              </w:rPr>
            </w:pPr>
            <w:r>
              <w:rPr>
                <w:color w:val="auto"/>
                <w:sz w:val="24"/>
                <w:highlight w:val="none"/>
              </w:rPr>
              <w:t>企业法人营业执照编号</w:t>
            </w:r>
          </w:p>
        </w:tc>
        <w:tc>
          <w:tcPr>
            <w:tcW w:w="1996" w:type="dxa"/>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2128" w:type="dxa"/>
            <w:noWrap w:val="0"/>
            <w:vAlign w:val="top"/>
          </w:tcPr>
          <w:p>
            <w:pPr>
              <w:pStyle w:val="14"/>
              <w:spacing w:before="169"/>
              <w:ind w:left="140"/>
              <w:rPr>
                <w:color w:val="auto"/>
                <w:sz w:val="24"/>
                <w:highlight w:val="none"/>
              </w:rPr>
            </w:pPr>
            <w:r>
              <w:rPr>
                <w:color w:val="auto"/>
                <w:sz w:val="24"/>
                <w:highlight w:val="none"/>
              </w:rPr>
              <w:t>建立日期</w:t>
            </w:r>
          </w:p>
        </w:tc>
        <w:tc>
          <w:tcPr>
            <w:tcW w:w="2311" w:type="dxa"/>
            <w:gridSpan w:val="2"/>
            <w:noWrap w:val="0"/>
            <w:vAlign w:val="top"/>
          </w:tcPr>
          <w:p>
            <w:pPr>
              <w:pStyle w:val="14"/>
              <w:rPr>
                <w:rFonts w:ascii="Times New Roman"/>
                <w:color w:val="auto"/>
                <w:sz w:val="22"/>
                <w:highlight w:val="none"/>
              </w:rPr>
            </w:pPr>
          </w:p>
        </w:tc>
        <w:tc>
          <w:tcPr>
            <w:tcW w:w="2522" w:type="dxa"/>
            <w:gridSpan w:val="2"/>
            <w:noWrap w:val="0"/>
            <w:vAlign w:val="top"/>
          </w:tcPr>
          <w:p>
            <w:pPr>
              <w:pStyle w:val="14"/>
              <w:spacing w:before="169"/>
              <w:ind w:left="26"/>
              <w:rPr>
                <w:rFonts w:ascii="Times New Roman" w:eastAsia="Times New Roman"/>
                <w:color w:val="auto"/>
                <w:sz w:val="24"/>
                <w:highlight w:val="none"/>
              </w:rPr>
            </w:pPr>
            <w:r>
              <w:rPr>
                <w:color w:val="auto"/>
                <w:sz w:val="24"/>
                <w:highlight w:val="none"/>
              </w:rPr>
              <w:t>固定资产净值</w:t>
            </w:r>
            <w:r>
              <w:rPr>
                <w:rFonts w:ascii="Times New Roman" w:eastAsia="Times New Roman"/>
                <w:color w:val="auto"/>
                <w:sz w:val="24"/>
                <w:highlight w:val="none"/>
              </w:rPr>
              <w:t>(</w:t>
            </w:r>
            <w:r>
              <w:rPr>
                <w:color w:val="auto"/>
                <w:sz w:val="24"/>
                <w:highlight w:val="none"/>
              </w:rPr>
              <w:t>万元</w:t>
            </w:r>
            <w:r>
              <w:rPr>
                <w:rFonts w:ascii="Times New Roman" w:eastAsia="Times New Roman"/>
                <w:color w:val="auto"/>
                <w:sz w:val="24"/>
                <w:highlight w:val="none"/>
              </w:rPr>
              <w:t>)</w:t>
            </w:r>
          </w:p>
        </w:tc>
        <w:tc>
          <w:tcPr>
            <w:tcW w:w="1996" w:type="dxa"/>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2128" w:type="dxa"/>
            <w:noWrap w:val="0"/>
            <w:vAlign w:val="top"/>
          </w:tcPr>
          <w:p>
            <w:pPr>
              <w:pStyle w:val="14"/>
              <w:spacing w:before="170"/>
              <w:ind w:left="140"/>
              <w:rPr>
                <w:color w:val="auto"/>
                <w:sz w:val="24"/>
                <w:highlight w:val="none"/>
              </w:rPr>
            </w:pPr>
            <w:r>
              <w:rPr>
                <w:color w:val="auto"/>
                <w:sz w:val="24"/>
                <w:highlight w:val="none"/>
              </w:rPr>
              <w:t>现有职工总人数</w:t>
            </w:r>
          </w:p>
        </w:tc>
        <w:tc>
          <w:tcPr>
            <w:tcW w:w="2311" w:type="dxa"/>
            <w:gridSpan w:val="2"/>
            <w:noWrap w:val="0"/>
            <w:vAlign w:val="top"/>
          </w:tcPr>
          <w:p>
            <w:pPr>
              <w:pStyle w:val="14"/>
              <w:rPr>
                <w:rFonts w:ascii="Times New Roman"/>
                <w:color w:val="auto"/>
                <w:sz w:val="22"/>
                <w:highlight w:val="none"/>
              </w:rPr>
            </w:pPr>
          </w:p>
        </w:tc>
        <w:tc>
          <w:tcPr>
            <w:tcW w:w="2522" w:type="dxa"/>
            <w:gridSpan w:val="2"/>
            <w:noWrap w:val="0"/>
            <w:vAlign w:val="top"/>
          </w:tcPr>
          <w:p>
            <w:pPr>
              <w:pStyle w:val="14"/>
              <w:spacing w:before="170"/>
              <w:ind w:left="26"/>
              <w:rPr>
                <w:color w:val="auto"/>
                <w:sz w:val="24"/>
                <w:highlight w:val="none"/>
              </w:rPr>
            </w:pPr>
            <w:r>
              <w:rPr>
                <w:color w:val="auto"/>
                <w:sz w:val="24"/>
                <w:highlight w:val="none"/>
              </w:rPr>
              <w:t>具有中高级职称人数</w:t>
            </w:r>
          </w:p>
        </w:tc>
        <w:tc>
          <w:tcPr>
            <w:tcW w:w="1996" w:type="dxa"/>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2128" w:type="dxa"/>
            <w:noWrap w:val="0"/>
            <w:vAlign w:val="top"/>
          </w:tcPr>
          <w:p>
            <w:pPr>
              <w:pStyle w:val="14"/>
              <w:spacing w:before="169"/>
              <w:ind w:left="140"/>
              <w:rPr>
                <w:color w:val="auto"/>
                <w:sz w:val="24"/>
                <w:highlight w:val="none"/>
              </w:rPr>
            </w:pPr>
            <w:r>
              <w:rPr>
                <w:color w:val="auto"/>
                <w:sz w:val="24"/>
                <w:highlight w:val="none"/>
              </w:rPr>
              <w:t>行政负责人</w:t>
            </w:r>
          </w:p>
        </w:tc>
        <w:tc>
          <w:tcPr>
            <w:tcW w:w="1414" w:type="dxa"/>
            <w:tcBorders>
              <w:right w:val="nil"/>
            </w:tcBorders>
            <w:noWrap w:val="0"/>
            <w:vAlign w:val="top"/>
          </w:tcPr>
          <w:p>
            <w:pPr>
              <w:pStyle w:val="14"/>
              <w:spacing w:before="169"/>
              <w:ind w:left="26"/>
              <w:rPr>
                <w:rFonts w:ascii="Times New Roman" w:eastAsia="Times New Roman"/>
                <w:color w:val="auto"/>
                <w:sz w:val="24"/>
                <w:highlight w:val="none"/>
              </w:rPr>
            </w:pPr>
            <w:r>
              <w:rPr>
                <w:rFonts w:ascii="Times New Roman" w:eastAsia="Times New Roman"/>
                <w:color w:val="auto"/>
                <w:sz w:val="24"/>
                <w:highlight w:val="none"/>
              </w:rPr>
              <w:t>1.</w:t>
            </w:r>
            <w:r>
              <w:rPr>
                <w:color w:val="auto"/>
                <w:sz w:val="24"/>
                <w:highlight w:val="none"/>
              </w:rPr>
              <w:t>姓名</w:t>
            </w:r>
            <w:r>
              <w:rPr>
                <w:rFonts w:ascii="Times New Roman" w:eastAsia="Times New Roman"/>
                <w:color w:val="auto"/>
                <w:sz w:val="24"/>
                <w:highlight w:val="none"/>
              </w:rPr>
              <w:t>:</w:t>
            </w:r>
          </w:p>
        </w:tc>
        <w:tc>
          <w:tcPr>
            <w:tcW w:w="2349" w:type="dxa"/>
            <w:gridSpan w:val="2"/>
            <w:tcBorders>
              <w:left w:val="nil"/>
              <w:right w:val="nil"/>
            </w:tcBorders>
            <w:noWrap w:val="0"/>
            <w:vAlign w:val="top"/>
          </w:tcPr>
          <w:p>
            <w:pPr>
              <w:pStyle w:val="14"/>
              <w:spacing w:before="169"/>
              <w:ind w:left="667"/>
              <w:rPr>
                <w:rFonts w:ascii="Times New Roman" w:eastAsia="Times New Roman"/>
                <w:color w:val="auto"/>
                <w:sz w:val="24"/>
                <w:highlight w:val="none"/>
              </w:rPr>
            </w:pPr>
            <w:r>
              <w:rPr>
                <w:rFonts w:ascii="Times New Roman" w:eastAsia="Times New Roman"/>
                <w:color w:val="auto"/>
                <w:sz w:val="24"/>
                <w:highlight w:val="none"/>
              </w:rPr>
              <w:t>2.</w:t>
            </w:r>
            <w:r>
              <w:rPr>
                <w:color w:val="auto"/>
                <w:sz w:val="24"/>
                <w:highlight w:val="none"/>
              </w:rPr>
              <w:t>职务</w:t>
            </w:r>
            <w:r>
              <w:rPr>
                <w:rFonts w:ascii="Times New Roman" w:eastAsia="Times New Roman"/>
                <w:color w:val="auto"/>
                <w:sz w:val="24"/>
                <w:highlight w:val="none"/>
              </w:rPr>
              <w:t>:</w:t>
            </w:r>
          </w:p>
        </w:tc>
        <w:tc>
          <w:tcPr>
            <w:tcW w:w="3066" w:type="dxa"/>
            <w:gridSpan w:val="2"/>
            <w:tcBorders>
              <w:left w:val="nil"/>
            </w:tcBorders>
            <w:noWrap w:val="0"/>
            <w:vAlign w:val="top"/>
          </w:tcPr>
          <w:p>
            <w:pPr>
              <w:pStyle w:val="14"/>
              <w:spacing w:before="169"/>
              <w:ind w:left="725"/>
              <w:rPr>
                <w:rFonts w:ascii="Times New Roman" w:eastAsia="Times New Roman"/>
                <w:color w:val="auto"/>
                <w:sz w:val="24"/>
                <w:highlight w:val="none"/>
              </w:rPr>
            </w:pPr>
            <w:r>
              <w:rPr>
                <w:rFonts w:ascii="Times New Roman" w:eastAsia="Times New Roman"/>
                <w:color w:val="auto"/>
                <w:sz w:val="24"/>
                <w:highlight w:val="none"/>
              </w:rPr>
              <w:t>3.</w:t>
            </w:r>
            <w:r>
              <w:rPr>
                <w:color w:val="auto"/>
                <w:sz w:val="24"/>
                <w:highlight w:val="none"/>
              </w:rPr>
              <w:t>职称</w:t>
            </w:r>
            <w:r>
              <w:rPr>
                <w:rFonts w:ascii="Times New Roman" w:eastAsia="Times New Roman"/>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2128" w:type="dxa"/>
            <w:noWrap w:val="0"/>
            <w:vAlign w:val="top"/>
          </w:tcPr>
          <w:p>
            <w:pPr>
              <w:pStyle w:val="14"/>
              <w:spacing w:before="170"/>
              <w:ind w:left="140"/>
              <w:rPr>
                <w:color w:val="auto"/>
                <w:sz w:val="24"/>
                <w:highlight w:val="none"/>
              </w:rPr>
            </w:pPr>
            <w:r>
              <w:rPr>
                <w:color w:val="auto"/>
                <w:sz w:val="24"/>
                <w:highlight w:val="none"/>
              </w:rPr>
              <w:t>技术负责人</w:t>
            </w:r>
          </w:p>
        </w:tc>
        <w:tc>
          <w:tcPr>
            <w:tcW w:w="1414" w:type="dxa"/>
            <w:tcBorders>
              <w:right w:val="nil"/>
            </w:tcBorders>
            <w:noWrap w:val="0"/>
            <w:vAlign w:val="top"/>
          </w:tcPr>
          <w:p>
            <w:pPr>
              <w:pStyle w:val="14"/>
              <w:spacing w:before="170"/>
              <w:ind w:left="26"/>
              <w:rPr>
                <w:rFonts w:ascii="Times New Roman" w:eastAsia="Times New Roman"/>
                <w:color w:val="auto"/>
                <w:sz w:val="24"/>
                <w:highlight w:val="none"/>
              </w:rPr>
            </w:pPr>
            <w:r>
              <w:rPr>
                <w:rFonts w:ascii="Times New Roman" w:eastAsia="Times New Roman"/>
                <w:color w:val="auto"/>
                <w:sz w:val="24"/>
                <w:highlight w:val="none"/>
              </w:rPr>
              <w:t>1.</w:t>
            </w:r>
            <w:r>
              <w:rPr>
                <w:color w:val="auto"/>
                <w:sz w:val="24"/>
                <w:highlight w:val="none"/>
              </w:rPr>
              <w:t>姓名</w:t>
            </w:r>
            <w:r>
              <w:rPr>
                <w:rFonts w:ascii="Times New Roman" w:eastAsia="Times New Roman"/>
                <w:color w:val="auto"/>
                <w:sz w:val="24"/>
                <w:highlight w:val="none"/>
              </w:rPr>
              <w:t>:</w:t>
            </w:r>
          </w:p>
        </w:tc>
        <w:tc>
          <w:tcPr>
            <w:tcW w:w="2349" w:type="dxa"/>
            <w:gridSpan w:val="2"/>
            <w:tcBorders>
              <w:left w:val="nil"/>
              <w:right w:val="nil"/>
            </w:tcBorders>
            <w:noWrap w:val="0"/>
            <w:vAlign w:val="top"/>
          </w:tcPr>
          <w:p>
            <w:pPr>
              <w:pStyle w:val="14"/>
              <w:spacing w:before="170"/>
              <w:ind w:left="667"/>
              <w:rPr>
                <w:rFonts w:ascii="Times New Roman" w:eastAsia="Times New Roman"/>
                <w:color w:val="auto"/>
                <w:sz w:val="24"/>
                <w:highlight w:val="none"/>
              </w:rPr>
            </w:pPr>
            <w:r>
              <w:rPr>
                <w:rFonts w:ascii="Times New Roman" w:eastAsia="Times New Roman"/>
                <w:color w:val="auto"/>
                <w:sz w:val="24"/>
                <w:highlight w:val="none"/>
              </w:rPr>
              <w:t>2.</w:t>
            </w:r>
            <w:r>
              <w:rPr>
                <w:color w:val="auto"/>
                <w:sz w:val="24"/>
                <w:highlight w:val="none"/>
              </w:rPr>
              <w:t>职务</w:t>
            </w:r>
            <w:r>
              <w:rPr>
                <w:rFonts w:ascii="Times New Roman" w:eastAsia="Times New Roman"/>
                <w:color w:val="auto"/>
                <w:sz w:val="24"/>
                <w:highlight w:val="none"/>
              </w:rPr>
              <w:t>:</w:t>
            </w:r>
          </w:p>
        </w:tc>
        <w:tc>
          <w:tcPr>
            <w:tcW w:w="3066" w:type="dxa"/>
            <w:gridSpan w:val="2"/>
            <w:tcBorders>
              <w:left w:val="nil"/>
            </w:tcBorders>
            <w:noWrap w:val="0"/>
            <w:vAlign w:val="top"/>
          </w:tcPr>
          <w:p>
            <w:pPr>
              <w:pStyle w:val="14"/>
              <w:spacing w:before="170"/>
              <w:ind w:left="725"/>
              <w:rPr>
                <w:rFonts w:ascii="Times New Roman" w:eastAsia="Times New Roman"/>
                <w:color w:val="auto"/>
                <w:sz w:val="24"/>
                <w:highlight w:val="none"/>
              </w:rPr>
            </w:pPr>
            <w:r>
              <w:rPr>
                <w:rFonts w:ascii="Times New Roman" w:eastAsia="Times New Roman"/>
                <w:color w:val="auto"/>
                <w:sz w:val="24"/>
                <w:highlight w:val="none"/>
              </w:rPr>
              <w:t>3.</w:t>
            </w:r>
            <w:r>
              <w:rPr>
                <w:color w:val="auto"/>
                <w:sz w:val="24"/>
                <w:highlight w:val="none"/>
              </w:rPr>
              <w:t>职称</w:t>
            </w:r>
            <w:r>
              <w:rPr>
                <w:rFonts w:ascii="Times New Roman" w:eastAsia="Times New Roman"/>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2128" w:type="dxa"/>
            <w:noWrap w:val="0"/>
            <w:vAlign w:val="top"/>
          </w:tcPr>
          <w:p>
            <w:pPr>
              <w:pStyle w:val="14"/>
              <w:spacing w:before="1"/>
              <w:rPr>
                <w:color w:val="auto"/>
                <w:sz w:val="32"/>
                <w:highlight w:val="none"/>
              </w:rPr>
            </w:pPr>
          </w:p>
          <w:p>
            <w:pPr>
              <w:pStyle w:val="14"/>
              <w:ind w:left="140"/>
              <w:rPr>
                <w:color w:val="auto"/>
                <w:sz w:val="24"/>
                <w:highlight w:val="none"/>
              </w:rPr>
            </w:pPr>
            <w:r>
              <w:rPr>
                <w:color w:val="auto"/>
                <w:sz w:val="24"/>
                <w:highlight w:val="none"/>
              </w:rPr>
              <w:t>联系方式</w:t>
            </w:r>
          </w:p>
        </w:tc>
        <w:tc>
          <w:tcPr>
            <w:tcW w:w="1414" w:type="dxa"/>
            <w:tcBorders>
              <w:right w:val="nil"/>
            </w:tcBorders>
            <w:noWrap w:val="0"/>
            <w:vAlign w:val="top"/>
          </w:tcPr>
          <w:p>
            <w:pPr>
              <w:pStyle w:val="14"/>
              <w:spacing w:before="171"/>
              <w:ind w:left="26"/>
              <w:rPr>
                <w:rFonts w:ascii="Times New Roman" w:eastAsia="Times New Roman"/>
                <w:color w:val="auto"/>
                <w:sz w:val="24"/>
                <w:highlight w:val="none"/>
              </w:rPr>
            </w:pPr>
            <w:r>
              <w:rPr>
                <w:rFonts w:ascii="Times New Roman" w:eastAsia="Times New Roman"/>
                <w:color w:val="auto"/>
                <w:sz w:val="24"/>
                <w:highlight w:val="none"/>
              </w:rPr>
              <w:t>1.</w:t>
            </w:r>
            <w:r>
              <w:rPr>
                <w:color w:val="auto"/>
                <w:sz w:val="24"/>
                <w:highlight w:val="none"/>
              </w:rPr>
              <w:t>地址</w:t>
            </w:r>
            <w:r>
              <w:rPr>
                <w:rFonts w:ascii="Times New Roman" w:eastAsia="Times New Roman"/>
                <w:color w:val="auto"/>
                <w:sz w:val="24"/>
                <w:highlight w:val="none"/>
              </w:rPr>
              <w:t>:</w:t>
            </w:r>
          </w:p>
          <w:p>
            <w:pPr>
              <w:pStyle w:val="14"/>
              <w:spacing w:before="173"/>
              <w:ind w:left="26"/>
              <w:rPr>
                <w:rFonts w:ascii="Times New Roman" w:eastAsia="Times New Roman"/>
                <w:color w:val="auto"/>
                <w:sz w:val="24"/>
                <w:highlight w:val="none"/>
              </w:rPr>
            </w:pPr>
            <w:r>
              <w:rPr>
                <w:rFonts w:ascii="Times New Roman" w:eastAsia="Times New Roman"/>
                <w:color w:val="auto"/>
                <w:sz w:val="24"/>
                <w:highlight w:val="none"/>
              </w:rPr>
              <w:t>4.</w:t>
            </w:r>
            <w:r>
              <w:rPr>
                <w:color w:val="auto"/>
                <w:sz w:val="24"/>
                <w:highlight w:val="none"/>
              </w:rPr>
              <w:t>传真</w:t>
            </w:r>
            <w:r>
              <w:rPr>
                <w:rFonts w:ascii="Times New Roman" w:eastAsia="Times New Roman"/>
                <w:color w:val="auto"/>
                <w:sz w:val="24"/>
                <w:highlight w:val="none"/>
              </w:rPr>
              <w:t>:</w:t>
            </w:r>
          </w:p>
        </w:tc>
        <w:tc>
          <w:tcPr>
            <w:tcW w:w="2349" w:type="dxa"/>
            <w:gridSpan w:val="2"/>
            <w:tcBorders>
              <w:left w:val="nil"/>
              <w:right w:val="nil"/>
            </w:tcBorders>
            <w:noWrap w:val="0"/>
            <w:vAlign w:val="top"/>
          </w:tcPr>
          <w:p>
            <w:pPr>
              <w:pStyle w:val="14"/>
              <w:spacing w:before="171"/>
              <w:ind w:left="667"/>
              <w:rPr>
                <w:rFonts w:ascii="Times New Roman" w:eastAsia="Times New Roman"/>
                <w:color w:val="auto"/>
                <w:sz w:val="24"/>
                <w:highlight w:val="none"/>
              </w:rPr>
            </w:pPr>
            <w:r>
              <w:rPr>
                <w:rFonts w:ascii="Times New Roman" w:eastAsia="Times New Roman"/>
                <w:color w:val="auto"/>
                <w:sz w:val="24"/>
                <w:highlight w:val="none"/>
              </w:rPr>
              <w:t>2.</w:t>
            </w:r>
            <w:r>
              <w:rPr>
                <w:color w:val="auto"/>
                <w:sz w:val="24"/>
                <w:highlight w:val="none"/>
              </w:rPr>
              <w:t>邮编</w:t>
            </w:r>
            <w:r>
              <w:rPr>
                <w:rFonts w:ascii="Times New Roman" w:eastAsia="Times New Roman"/>
                <w:color w:val="auto"/>
                <w:sz w:val="24"/>
                <w:highlight w:val="none"/>
              </w:rPr>
              <w:t>:</w:t>
            </w:r>
          </w:p>
          <w:p>
            <w:pPr>
              <w:pStyle w:val="14"/>
              <w:spacing w:before="173"/>
              <w:ind w:left="667"/>
              <w:rPr>
                <w:rFonts w:ascii="Times New Roman" w:eastAsia="Times New Roman"/>
                <w:color w:val="auto"/>
                <w:sz w:val="24"/>
                <w:highlight w:val="none"/>
              </w:rPr>
            </w:pPr>
            <w:r>
              <w:rPr>
                <w:rFonts w:ascii="Times New Roman" w:eastAsia="Times New Roman"/>
                <w:color w:val="auto"/>
                <w:sz w:val="24"/>
                <w:highlight w:val="none"/>
              </w:rPr>
              <w:t>5.</w:t>
            </w:r>
            <w:r>
              <w:rPr>
                <w:color w:val="auto"/>
                <w:sz w:val="24"/>
                <w:highlight w:val="none"/>
              </w:rPr>
              <w:t>联系人</w:t>
            </w:r>
            <w:r>
              <w:rPr>
                <w:rFonts w:ascii="Times New Roman" w:eastAsia="Times New Roman"/>
                <w:color w:val="auto"/>
                <w:sz w:val="24"/>
                <w:highlight w:val="none"/>
              </w:rPr>
              <w:t>:</w:t>
            </w:r>
          </w:p>
        </w:tc>
        <w:tc>
          <w:tcPr>
            <w:tcW w:w="3066" w:type="dxa"/>
            <w:gridSpan w:val="2"/>
            <w:tcBorders>
              <w:left w:val="nil"/>
            </w:tcBorders>
            <w:noWrap w:val="0"/>
            <w:vAlign w:val="top"/>
          </w:tcPr>
          <w:p>
            <w:pPr>
              <w:pStyle w:val="14"/>
              <w:spacing w:before="171"/>
              <w:ind w:left="725"/>
              <w:rPr>
                <w:rFonts w:ascii="Times New Roman" w:eastAsia="Times New Roman"/>
                <w:color w:val="auto"/>
                <w:sz w:val="24"/>
                <w:highlight w:val="none"/>
              </w:rPr>
            </w:pPr>
            <w:r>
              <w:rPr>
                <w:rFonts w:ascii="Times New Roman" w:eastAsia="Times New Roman"/>
                <w:color w:val="auto"/>
                <w:sz w:val="24"/>
                <w:highlight w:val="none"/>
              </w:rPr>
              <w:t>3.</w:t>
            </w:r>
            <w:r>
              <w:rPr>
                <w:color w:val="auto"/>
                <w:sz w:val="24"/>
                <w:highlight w:val="none"/>
              </w:rPr>
              <w:t>电话</w:t>
            </w:r>
            <w:r>
              <w:rPr>
                <w:rFonts w:ascii="Times New Roman" w:eastAsia="Times New Roman"/>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2128" w:type="dxa"/>
            <w:noWrap w:val="0"/>
            <w:vAlign w:val="top"/>
          </w:tcPr>
          <w:p>
            <w:pPr>
              <w:pStyle w:val="14"/>
              <w:spacing w:before="12"/>
              <w:rPr>
                <w:color w:val="auto"/>
                <w:sz w:val="31"/>
                <w:highlight w:val="none"/>
              </w:rPr>
            </w:pPr>
          </w:p>
          <w:p>
            <w:pPr>
              <w:pStyle w:val="14"/>
              <w:ind w:left="140"/>
              <w:rPr>
                <w:color w:val="auto"/>
                <w:sz w:val="24"/>
                <w:highlight w:val="none"/>
              </w:rPr>
            </w:pPr>
            <w:r>
              <w:rPr>
                <w:color w:val="auto"/>
                <w:sz w:val="24"/>
                <w:highlight w:val="none"/>
              </w:rPr>
              <w:t>开户银行</w:t>
            </w:r>
          </w:p>
        </w:tc>
        <w:tc>
          <w:tcPr>
            <w:tcW w:w="6829" w:type="dxa"/>
            <w:gridSpan w:val="5"/>
            <w:noWrap w:val="0"/>
            <w:vAlign w:val="top"/>
          </w:tcPr>
          <w:p>
            <w:pPr>
              <w:pStyle w:val="14"/>
              <w:numPr>
                <w:ilvl w:val="0"/>
                <w:numId w:val="4"/>
              </w:numPr>
              <w:tabs>
                <w:tab w:val="left" w:pos="208"/>
              </w:tabs>
              <w:spacing w:before="170"/>
              <w:jc w:val="left"/>
              <w:rPr>
                <w:rFonts w:ascii="Times New Roman" w:eastAsia="Times New Roman"/>
                <w:color w:val="auto"/>
                <w:sz w:val="24"/>
                <w:highlight w:val="none"/>
              </w:rPr>
            </w:pPr>
            <w:r>
              <w:rPr>
                <w:color w:val="auto"/>
                <w:sz w:val="24"/>
                <w:highlight w:val="none"/>
              </w:rPr>
              <w:t>名称</w:t>
            </w:r>
            <w:r>
              <w:rPr>
                <w:rFonts w:ascii="Times New Roman" w:eastAsia="Times New Roman"/>
                <w:color w:val="auto"/>
                <w:sz w:val="24"/>
                <w:highlight w:val="none"/>
              </w:rPr>
              <w:t>:</w:t>
            </w:r>
          </w:p>
          <w:p>
            <w:pPr>
              <w:pStyle w:val="14"/>
              <w:numPr>
                <w:ilvl w:val="0"/>
                <w:numId w:val="4"/>
              </w:numPr>
              <w:tabs>
                <w:tab w:val="left" w:pos="208"/>
              </w:tabs>
              <w:spacing w:before="172"/>
              <w:jc w:val="left"/>
              <w:rPr>
                <w:rFonts w:ascii="Times New Roman" w:eastAsia="Times New Roman"/>
                <w:color w:val="auto"/>
                <w:sz w:val="24"/>
                <w:highlight w:val="none"/>
              </w:rPr>
            </w:pPr>
            <w:r>
              <w:rPr>
                <w:color w:val="auto"/>
                <w:sz w:val="24"/>
                <w:highlight w:val="none"/>
              </w:rPr>
              <w:t>账号</w:t>
            </w:r>
            <w:r>
              <w:rPr>
                <w:rFonts w:ascii="Times New Roman" w:eastAsia="Times New Roman"/>
                <w:color w:val="auto"/>
                <w:sz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128" w:type="dxa"/>
            <w:noWrap w:val="0"/>
            <w:vAlign w:val="top"/>
          </w:tcPr>
          <w:p>
            <w:pPr>
              <w:pStyle w:val="14"/>
              <w:spacing w:before="9" w:line="400" w:lineRule="exact"/>
              <w:ind w:left="28" w:right="11"/>
              <w:rPr>
                <w:color w:val="auto"/>
                <w:sz w:val="24"/>
                <w:highlight w:val="none"/>
              </w:rPr>
            </w:pPr>
            <w:r>
              <w:rPr>
                <w:color w:val="auto"/>
                <w:sz w:val="24"/>
                <w:highlight w:val="none"/>
              </w:rPr>
              <w:t>近五年内投标申请人名称变更情况</w:t>
            </w:r>
          </w:p>
        </w:tc>
        <w:tc>
          <w:tcPr>
            <w:tcW w:w="6829" w:type="dxa"/>
            <w:gridSpan w:val="5"/>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trPr>
        <w:tc>
          <w:tcPr>
            <w:tcW w:w="2128" w:type="dxa"/>
            <w:noWrap w:val="0"/>
            <w:vAlign w:val="top"/>
          </w:tcPr>
          <w:p>
            <w:pPr>
              <w:pStyle w:val="14"/>
              <w:spacing w:before="81"/>
              <w:ind w:left="28"/>
              <w:rPr>
                <w:color w:val="auto"/>
                <w:sz w:val="24"/>
                <w:highlight w:val="none"/>
              </w:rPr>
            </w:pPr>
            <w:r>
              <w:rPr>
                <w:color w:val="auto"/>
                <w:sz w:val="24"/>
                <w:highlight w:val="none"/>
              </w:rPr>
              <w:t>下属施工单位简况</w:t>
            </w:r>
          </w:p>
          <w:p>
            <w:pPr>
              <w:pStyle w:val="14"/>
              <w:spacing w:before="1" w:line="400" w:lineRule="atLeast"/>
              <w:ind w:left="28" w:right="9"/>
              <w:rPr>
                <w:rFonts w:ascii="Times New Roman" w:eastAsia="Times New Roman"/>
                <w:color w:val="auto"/>
                <w:sz w:val="24"/>
                <w:highlight w:val="none"/>
              </w:rPr>
            </w:pPr>
            <w:r>
              <w:rPr>
                <w:rFonts w:ascii="Times New Roman" w:eastAsia="Times New Roman"/>
                <w:color w:val="auto"/>
                <w:sz w:val="24"/>
                <w:highlight w:val="none"/>
              </w:rPr>
              <w:t>(</w:t>
            </w:r>
            <w:r>
              <w:rPr>
                <w:color w:val="auto"/>
                <w:sz w:val="24"/>
                <w:highlight w:val="none"/>
              </w:rPr>
              <w:t>个数、专业、年完成工作量等</w:t>
            </w:r>
            <w:r>
              <w:rPr>
                <w:rFonts w:ascii="Times New Roman" w:eastAsia="Times New Roman"/>
                <w:color w:val="auto"/>
                <w:sz w:val="24"/>
                <w:highlight w:val="none"/>
              </w:rPr>
              <w:t>)</w:t>
            </w:r>
          </w:p>
        </w:tc>
        <w:tc>
          <w:tcPr>
            <w:tcW w:w="6829" w:type="dxa"/>
            <w:gridSpan w:val="5"/>
            <w:noWrap w:val="0"/>
            <w:vAlign w:val="top"/>
          </w:tcPr>
          <w:p>
            <w:pPr>
              <w:pStyle w:val="14"/>
              <w:rPr>
                <w:rFonts w:ascii="Times New Roman"/>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2128" w:type="dxa"/>
            <w:noWrap w:val="0"/>
            <w:vAlign w:val="top"/>
          </w:tcPr>
          <w:p>
            <w:pPr>
              <w:pStyle w:val="14"/>
              <w:spacing w:before="9" w:line="400" w:lineRule="exact"/>
              <w:ind w:left="28" w:right="11"/>
              <w:rPr>
                <w:color w:val="auto"/>
                <w:sz w:val="24"/>
                <w:highlight w:val="none"/>
              </w:rPr>
            </w:pPr>
            <w:r>
              <w:rPr>
                <w:color w:val="auto"/>
                <w:sz w:val="24"/>
                <w:highlight w:val="none"/>
              </w:rPr>
              <w:t>资产构成情况及投标申请人投资参股的关联企业情况</w:t>
            </w:r>
          </w:p>
        </w:tc>
        <w:tc>
          <w:tcPr>
            <w:tcW w:w="6829" w:type="dxa"/>
            <w:gridSpan w:val="5"/>
            <w:noWrap w:val="0"/>
            <w:vAlign w:val="top"/>
          </w:tcPr>
          <w:p>
            <w:pPr>
              <w:pStyle w:val="14"/>
              <w:rPr>
                <w:rFonts w:ascii="Times New Roman"/>
                <w:color w:val="auto"/>
                <w:sz w:val="22"/>
                <w:highlight w:val="none"/>
              </w:rPr>
            </w:pPr>
          </w:p>
        </w:tc>
      </w:tr>
    </w:tbl>
    <w:p>
      <w:pPr>
        <w:pStyle w:val="15"/>
        <w:rPr>
          <w:rFonts w:hint="eastAsia" w:ascii="宋体" w:hAnsi="宋体"/>
          <w:bCs/>
          <w:color w:val="auto"/>
          <w:szCs w:val="21"/>
          <w:highlight w:val="none"/>
        </w:rPr>
      </w:pPr>
      <w:r>
        <w:rPr>
          <w:rFonts w:hint="eastAsia" w:ascii="宋体" w:hAnsi="宋体"/>
          <w:bCs/>
          <w:color w:val="auto"/>
          <w:szCs w:val="21"/>
          <w:highlight w:val="none"/>
        </w:rPr>
        <w:t>注：在本表后应附清晰的、加盖投标申请单位公章的复印件</w:t>
      </w:r>
    </w:p>
    <w:p>
      <w:pPr>
        <w:pStyle w:val="15"/>
        <w:ind w:firstLine="420" w:firstLineChars="200"/>
        <w:rPr>
          <w:rFonts w:hint="eastAsia" w:ascii="宋体" w:hAnsi="宋体"/>
          <w:bCs/>
          <w:color w:val="auto"/>
          <w:szCs w:val="21"/>
          <w:highlight w:val="none"/>
        </w:rPr>
      </w:pPr>
      <w:r>
        <w:rPr>
          <w:rFonts w:hint="eastAsia" w:ascii="宋体" w:hAnsi="宋体"/>
          <w:bCs/>
          <w:color w:val="auto"/>
          <w:szCs w:val="21"/>
          <w:highlight w:val="none"/>
        </w:rPr>
        <w:t>1.企业法人营业执照副本（全本）；</w:t>
      </w:r>
    </w:p>
    <w:p>
      <w:pPr>
        <w:pStyle w:val="15"/>
        <w:ind w:firstLine="420" w:firstLineChars="200"/>
        <w:rPr>
          <w:rFonts w:hint="eastAsia" w:ascii="宋体" w:hAnsi="宋体"/>
          <w:bCs/>
          <w:color w:val="auto"/>
          <w:szCs w:val="21"/>
          <w:highlight w:val="none"/>
        </w:rPr>
      </w:pPr>
      <w:r>
        <w:rPr>
          <w:rFonts w:hint="eastAsia" w:ascii="宋体" w:hAnsi="宋体"/>
          <w:bCs/>
          <w:color w:val="auto"/>
          <w:szCs w:val="21"/>
          <w:highlight w:val="none"/>
        </w:rPr>
        <w:t>2.企业资质证书副本（全本）；</w:t>
      </w:r>
    </w:p>
    <w:p>
      <w:pPr>
        <w:pStyle w:val="15"/>
        <w:ind w:firstLine="420" w:firstLineChars="200"/>
        <w:rPr>
          <w:rFonts w:hint="eastAsia" w:ascii="宋体" w:hAnsi="宋体"/>
          <w:bCs/>
          <w:color w:val="auto"/>
          <w:szCs w:val="21"/>
          <w:highlight w:val="none"/>
        </w:rPr>
      </w:pPr>
      <w:r>
        <w:rPr>
          <w:rFonts w:hint="eastAsia" w:ascii="宋体" w:hAnsi="宋体"/>
          <w:bCs/>
          <w:color w:val="auto"/>
          <w:szCs w:val="21"/>
          <w:highlight w:val="none"/>
        </w:rPr>
        <w:t>3.企业安全生产许可证（全本）；</w:t>
      </w:r>
    </w:p>
    <w:p>
      <w:pPr>
        <w:pStyle w:val="15"/>
        <w:ind w:firstLine="420" w:firstLineChars="200"/>
        <w:rPr>
          <w:rFonts w:hint="eastAsia" w:ascii="宋体" w:hAnsi="宋体"/>
          <w:bCs/>
          <w:color w:val="auto"/>
          <w:szCs w:val="21"/>
          <w:highlight w:val="none"/>
        </w:rPr>
      </w:pPr>
      <w:r>
        <w:rPr>
          <w:rFonts w:hint="eastAsia" w:ascii="宋体" w:hAnsi="宋体"/>
          <w:bCs/>
          <w:color w:val="auto"/>
          <w:szCs w:val="21"/>
          <w:highlight w:val="none"/>
        </w:rPr>
        <w:t>4.如近五年内，投标申请人发生法人合法变更或重组，应提供相关部门的合法批件或其他相关证</w:t>
      </w:r>
    </w:p>
    <w:p>
      <w:pPr>
        <w:pStyle w:val="15"/>
        <w:ind w:firstLine="630" w:firstLineChars="300"/>
        <w:rPr>
          <w:rFonts w:hint="eastAsia" w:ascii="宋体" w:hAnsi="宋体"/>
          <w:bCs/>
          <w:color w:val="auto"/>
          <w:szCs w:val="21"/>
          <w:highlight w:val="none"/>
        </w:rPr>
      </w:pPr>
      <w:r>
        <w:rPr>
          <w:rFonts w:hint="eastAsia" w:ascii="宋体" w:hAnsi="宋体"/>
          <w:bCs/>
          <w:color w:val="auto"/>
          <w:szCs w:val="21"/>
          <w:highlight w:val="none"/>
        </w:rPr>
        <w:t>明材料；</w:t>
      </w:r>
    </w:p>
    <w:p>
      <w:pPr>
        <w:pStyle w:val="15"/>
        <w:ind w:firstLine="420" w:firstLineChars="200"/>
        <w:rPr>
          <w:rFonts w:ascii="宋体" w:hAnsi="宋体"/>
          <w:b/>
          <w:color w:val="auto"/>
          <w:sz w:val="24"/>
          <w:highlight w:val="none"/>
        </w:rPr>
      </w:pPr>
      <w:r>
        <w:rPr>
          <w:rFonts w:hint="eastAsia" w:ascii="宋体" w:hAnsi="宋体"/>
          <w:bCs/>
          <w:color w:val="auto"/>
          <w:szCs w:val="21"/>
          <w:highlight w:val="none"/>
        </w:rPr>
        <w:t>5.基本账户开户许可证。</w:t>
      </w:r>
    </w:p>
    <w:p>
      <w:pPr>
        <w:spacing w:line="440" w:lineRule="exact"/>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pStyle w:val="15"/>
        <w:ind w:firstLine="4560" w:firstLineChars="1900"/>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15"/>
        <w:ind w:firstLine="4560" w:firstLineChars="1900"/>
        <w:rPr>
          <w:rFonts w:hint="eastAsia" w:ascii="宋体" w:hAnsi="宋体"/>
          <w:color w:val="auto"/>
          <w:sz w:val="24"/>
          <w:szCs w:val="24"/>
          <w:highlight w:val="none"/>
        </w:rPr>
      </w:pPr>
    </w:p>
    <w:p>
      <w:pPr>
        <w:pStyle w:val="15"/>
        <w:rPr>
          <w:rFonts w:ascii="宋体" w:hAnsi="宋体"/>
          <w:b/>
          <w:color w:val="auto"/>
          <w:sz w:val="24"/>
          <w:highlight w:val="none"/>
        </w:rPr>
      </w:pPr>
    </w:p>
    <w:p>
      <w:pPr>
        <w:numPr>
          <w:ilvl w:val="0"/>
          <w:numId w:val="3"/>
        </w:numPr>
        <w:adjustRightInd w:val="0"/>
        <w:snapToGrid w:val="0"/>
        <w:jc w:val="center"/>
        <w:rPr>
          <w:rFonts w:hint="eastAsia" w:ascii="宋体" w:hAnsi="宋体"/>
          <w:b/>
          <w:color w:val="auto"/>
          <w:sz w:val="24"/>
          <w:highlight w:val="none"/>
        </w:rPr>
      </w:pPr>
      <w:r>
        <w:rPr>
          <w:rFonts w:hint="eastAsia" w:ascii="宋体" w:hAnsi="宋体"/>
          <w:b/>
          <w:color w:val="auto"/>
          <w:sz w:val="24"/>
          <w:highlight w:val="none"/>
        </w:rPr>
        <w:t xml:space="preserve">  专用条款</w:t>
      </w:r>
    </w:p>
    <w:p>
      <w:pPr>
        <w:jc w:val="center"/>
        <w:rPr>
          <w:rFonts w:hint="eastAsia"/>
          <w:b/>
          <w:bCs/>
          <w:color w:val="auto"/>
          <w:highlight w:val="none"/>
        </w:rPr>
      </w:pPr>
    </w:p>
    <w:p>
      <w:pPr>
        <w:spacing w:line="360" w:lineRule="auto"/>
        <w:ind w:firstLine="200"/>
        <w:jc w:val="center"/>
        <w:rPr>
          <w:rFonts w:hint="eastAsia" w:ascii="宋体" w:hAnsi="宋体" w:cs="宋体"/>
          <w:b/>
          <w:color w:val="auto"/>
          <w:sz w:val="20"/>
          <w:highlight w:val="none"/>
        </w:rPr>
      </w:pPr>
      <w:r>
        <w:rPr>
          <w:rFonts w:hint="eastAsia" w:ascii="宋体" w:hAnsi="宋体" w:cs="宋体"/>
          <w:b/>
          <w:color w:val="auto"/>
          <w:sz w:val="20"/>
          <w:highlight w:val="none"/>
        </w:rPr>
        <w:t>专用条款</w:t>
      </w:r>
    </w:p>
    <w:p>
      <w:pPr>
        <w:numPr>
          <w:ilvl w:val="0"/>
          <w:numId w:val="5"/>
        </w:numPr>
        <w:spacing w:line="400" w:lineRule="exact"/>
        <w:ind w:firstLine="402" w:firstLineChars="200"/>
        <w:rPr>
          <w:color w:val="auto"/>
          <w:highlight w:val="none"/>
        </w:rPr>
      </w:pPr>
      <w:r>
        <w:rPr>
          <w:rFonts w:hint="eastAsia" w:ascii="宋体" w:hAnsi="宋体" w:cs="宋体"/>
          <w:b/>
          <w:bCs/>
          <w:color w:val="auto"/>
          <w:sz w:val="20"/>
          <w:highlight w:val="none"/>
        </w:rPr>
        <w:t>通用条款修改部分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07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3" w:type="dxa"/>
            <w:noWrap w:val="0"/>
            <w:vAlign w:val="top"/>
          </w:tcPr>
          <w:p>
            <w:pPr>
              <w:pStyle w:val="2"/>
              <w:widowControl/>
              <w:spacing w:line="160" w:lineRule="atLeast"/>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序号</w:t>
            </w:r>
          </w:p>
        </w:tc>
        <w:tc>
          <w:tcPr>
            <w:tcW w:w="3074" w:type="dxa"/>
            <w:noWrap w:val="0"/>
            <w:vAlign w:val="top"/>
          </w:tcPr>
          <w:p>
            <w:pPr>
              <w:pStyle w:val="2"/>
              <w:widowControl/>
              <w:spacing w:line="160" w:lineRule="atLeas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通用条款</w:t>
            </w:r>
          </w:p>
        </w:tc>
        <w:tc>
          <w:tcPr>
            <w:tcW w:w="4623" w:type="dxa"/>
            <w:noWrap w:val="0"/>
            <w:vAlign w:val="top"/>
          </w:tcPr>
          <w:p>
            <w:pPr>
              <w:pStyle w:val="2"/>
              <w:widowControl/>
              <w:spacing w:line="160" w:lineRule="atLeas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具体修改后信息或数据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43" w:type="dxa"/>
            <w:noWrap w:val="0"/>
            <w:vAlign w:val="top"/>
          </w:tcPr>
          <w:p>
            <w:pPr>
              <w:pStyle w:val="2"/>
              <w:widowControl/>
              <w:spacing w:line="240" w:lineRule="atLeas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1</w:t>
            </w:r>
          </w:p>
        </w:tc>
        <w:tc>
          <w:tcPr>
            <w:tcW w:w="3074" w:type="dxa"/>
            <w:noWrap w:val="0"/>
            <w:vAlign w:val="center"/>
          </w:tcPr>
          <w:p>
            <w:pPr>
              <w:widowControl/>
              <w:spacing w:line="400" w:lineRule="exact"/>
              <w:rPr>
                <w:rFonts w:hint="eastAsia" w:ascii="宋体" w:hAnsi="宋体"/>
                <w:b/>
                <w:color w:val="auto"/>
                <w:sz w:val="20"/>
                <w:highlight w:val="none"/>
              </w:rPr>
            </w:pPr>
            <w:r>
              <w:rPr>
                <w:rFonts w:hint="eastAsia" w:ascii="宋体" w:hAnsi="宋体"/>
                <w:b/>
                <w:color w:val="auto"/>
                <w:sz w:val="20"/>
                <w:highlight w:val="none"/>
              </w:rPr>
              <w:t>新增条款</w:t>
            </w:r>
          </w:p>
          <w:p>
            <w:pPr>
              <w:pStyle w:val="2"/>
              <w:widowControl/>
              <w:spacing w:line="240" w:lineRule="atLeast"/>
              <w:jc w:val="center"/>
              <w:rPr>
                <w:rFonts w:hint="eastAsia" w:ascii="宋体" w:hAnsi="宋体" w:eastAsia="宋体"/>
                <w:b w:val="0"/>
                <w:bCs w:val="0"/>
                <w:color w:val="auto"/>
                <w:sz w:val="20"/>
                <w:szCs w:val="20"/>
                <w:highlight w:val="none"/>
              </w:rPr>
            </w:pPr>
            <w:r>
              <w:rPr>
                <w:rFonts w:ascii="宋体" w:hAnsi="宋体" w:eastAsia="宋体"/>
                <w:color w:val="auto"/>
                <w:sz w:val="20"/>
                <w:szCs w:val="20"/>
                <w:highlight w:val="none"/>
              </w:rPr>
              <w:t>4.</w:t>
            </w:r>
            <w:r>
              <w:rPr>
                <w:rFonts w:hint="eastAsia" w:ascii="宋体" w:hAnsi="宋体" w:eastAsia="宋体"/>
                <w:color w:val="auto"/>
                <w:sz w:val="20"/>
                <w:szCs w:val="20"/>
                <w:highlight w:val="none"/>
              </w:rPr>
              <w:t>1.3.1甲方开票信息</w:t>
            </w:r>
          </w:p>
        </w:tc>
        <w:tc>
          <w:tcPr>
            <w:tcW w:w="4623" w:type="dxa"/>
            <w:noWrap w:val="0"/>
            <w:vAlign w:val="center"/>
          </w:tcPr>
          <w:p>
            <w:pPr>
              <w:widowControl/>
              <w:spacing w:line="280" w:lineRule="exact"/>
              <w:rPr>
                <w:rFonts w:hint="eastAsia" w:ascii="宋体" w:hAnsi="宋体" w:cs="Arial"/>
                <w:b/>
                <w:color w:val="auto"/>
                <w:sz w:val="20"/>
                <w:highlight w:val="none"/>
              </w:rPr>
            </w:pPr>
            <w:r>
              <w:rPr>
                <w:rFonts w:ascii="宋体" w:hAnsi="宋体" w:cs="Arial"/>
                <w:b/>
                <w:color w:val="auto"/>
                <w:sz w:val="20"/>
                <w:highlight w:val="none"/>
              </w:rPr>
              <w:t>4</w:t>
            </w:r>
            <w:r>
              <w:rPr>
                <w:rFonts w:hint="eastAsia" w:ascii="宋体" w:hAnsi="宋体" w:cs="Arial"/>
                <w:b/>
                <w:color w:val="auto"/>
                <w:sz w:val="20"/>
                <w:highlight w:val="none"/>
              </w:rPr>
              <w:t>.1.3.1甲方开票信息如下：</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开票名称：广西北投环保水务集团有限公司</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纳税人识别号：91450000MA5P9Q8A1E</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地址：南宁市良庆区飞云路8号北投大厦1#楼8楼</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电话：0771-2531159</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开户行：平安银行南宁分行营业部</w:t>
            </w:r>
          </w:p>
          <w:p>
            <w:pPr>
              <w:pStyle w:val="2"/>
              <w:widowControl/>
              <w:spacing w:before="0" w:after="0" w:line="240" w:lineRule="auto"/>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银行账号：15005361500011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2" w:hRule="atLeast"/>
        </w:trPr>
        <w:tc>
          <w:tcPr>
            <w:tcW w:w="643" w:type="dxa"/>
            <w:noWrap w:val="0"/>
            <w:vAlign w:val="top"/>
          </w:tcPr>
          <w:p>
            <w:pPr>
              <w:pStyle w:val="2"/>
              <w:widowControl/>
              <w:spacing w:line="240" w:lineRule="atLeast"/>
              <w:jc w:val="center"/>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2</w:t>
            </w:r>
          </w:p>
        </w:tc>
        <w:tc>
          <w:tcPr>
            <w:tcW w:w="3074" w:type="dxa"/>
            <w:noWrap w:val="0"/>
            <w:vAlign w:val="top"/>
          </w:tcPr>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hint="eastAsia" w:ascii="宋体" w:hAnsi="宋体"/>
                <w:b/>
                <w:color w:val="auto"/>
                <w:sz w:val="20"/>
                <w:szCs w:val="22"/>
                <w:highlight w:val="none"/>
              </w:rPr>
            </w:pPr>
          </w:p>
          <w:p>
            <w:pPr>
              <w:widowControl/>
              <w:spacing w:line="400" w:lineRule="exact"/>
              <w:jc w:val="center"/>
              <w:rPr>
                <w:rFonts w:ascii="宋体" w:hAnsi="宋体"/>
                <w:color w:val="auto"/>
                <w:sz w:val="20"/>
                <w:highlight w:val="none"/>
              </w:rPr>
            </w:pPr>
            <w:r>
              <w:rPr>
                <w:rFonts w:hint="eastAsia" w:ascii="宋体" w:hAnsi="宋体"/>
                <w:b/>
                <w:color w:val="auto"/>
                <w:sz w:val="20"/>
                <w:szCs w:val="22"/>
                <w:highlight w:val="none"/>
              </w:rPr>
              <w:t>4.2 劳务费用的中间支付</w:t>
            </w:r>
          </w:p>
        </w:tc>
        <w:tc>
          <w:tcPr>
            <w:tcW w:w="4623" w:type="dxa"/>
            <w:noWrap w:val="0"/>
            <w:vAlign w:val="top"/>
          </w:tcPr>
          <w:p>
            <w:pPr>
              <w:pStyle w:val="2"/>
              <w:widowControl/>
              <w:spacing w:before="0" w:after="0" w:line="240" w:lineRule="atLeast"/>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4.2.2.4</w:t>
            </w:r>
            <w:r>
              <w:rPr>
                <w:rFonts w:hint="eastAsia" w:ascii="宋体" w:hAnsi="宋体" w:eastAsia="宋体"/>
                <w:b w:val="0"/>
                <w:bCs w:val="0"/>
                <w:color w:val="auto"/>
                <w:kern w:val="0"/>
                <w:sz w:val="20"/>
                <w:szCs w:val="20"/>
                <w:highlight w:val="none"/>
              </w:rPr>
              <w:t>最终结算</w:t>
            </w:r>
            <w:r>
              <w:rPr>
                <w:rFonts w:hint="eastAsia" w:ascii="宋体" w:hAnsi="宋体" w:eastAsia="宋体"/>
                <w:b w:val="0"/>
                <w:bCs w:val="0"/>
                <w:color w:val="auto"/>
                <w:kern w:val="0"/>
                <w:sz w:val="20"/>
                <w:szCs w:val="20"/>
                <w:highlight w:val="none"/>
                <w:lang w:val="en-US" w:eastAsia="zh-CN"/>
              </w:rPr>
              <w:t>金额200万元以下的，由甲方项目经理部审批，最终结算金额200万元（含200万元）以上的</w:t>
            </w:r>
            <w:r>
              <w:rPr>
                <w:rFonts w:hint="eastAsia" w:ascii="宋体" w:hAnsi="宋体" w:eastAsia="宋体"/>
                <w:b w:val="0"/>
                <w:bCs w:val="0"/>
                <w:color w:val="auto"/>
                <w:kern w:val="0"/>
                <w:sz w:val="20"/>
                <w:szCs w:val="20"/>
                <w:highlight w:val="none"/>
              </w:rPr>
              <w:t>必须经甲方</w:t>
            </w:r>
            <w:r>
              <w:rPr>
                <w:rFonts w:hint="eastAsia" w:ascii="宋体" w:hAnsi="宋体" w:eastAsia="宋体"/>
                <w:b w:val="0"/>
                <w:bCs w:val="0"/>
                <w:color w:val="auto"/>
                <w:sz w:val="20"/>
                <w:szCs w:val="20"/>
                <w:highlight w:val="none"/>
              </w:rPr>
              <w:t>项目经理部上级</w:t>
            </w:r>
            <w:r>
              <w:rPr>
                <w:rFonts w:hint="eastAsia" w:ascii="宋体" w:hAnsi="宋体" w:eastAsia="宋体"/>
                <w:b w:val="0"/>
                <w:bCs w:val="0"/>
                <w:color w:val="auto"/>
                <w:kern w:val="0"/>
                <w:sz w:val="20"/>
                <w:szCs w:val="20"/>
                <w:highlight w:val="none"/>
              </w:rPr>
              <w:t>合同管理部门审定后才能办理最终结算支付手续</w:t>
            </w:r>
            <w:r>
              <w:rPr>
                <w:rFonts w:hint="eastAsia" w:ascii="宋体" w:hAnsi="宋体" w:eastAsia="宋体"/>
                <w:b w:val="0"/>
                <w:bCs w:val="0"/>
                <w:color w:val="auto"/>
                <w:sz w:val="20"/>
                <w:szCs w:val="20"/>
                <w:highlight w:val="none"/>
              </w:rPr>
              <w:t>。</w:t>
            </w:r>
          </w:p>
          <w:p>
            <w:pPr>
              <w:rPr>
                <w:rFonts w:hint="eastAsia" w:ascii="宋体" w:hAnsi="宋体"/>
                <w:color w:val="auto"/>
                <w:sz w:val="20"/>
                <w:highlight w:val="none"/>
              </w:rPr>
            </w:pPr>
            <w:r>
              <w:rPr>
                <w:rFonts w:hint="eastAsia" w:ascii="宋体" w:hAnsi="宋体"/>
                <w:color w:val="auto"/>
                <w:sz w:val="20"/>
                <w:highlight w:val="none"/>
              </w:rPr>
              <w:t>4.2.2.6乙方得到合格工程结算款支付的前提条件是：甲方项目经理签认了合同应付单。甲方按结算情况支付工程结算款时暂扣乙方以下款项：</w:t>
            </w:r>
          </w:p>
          <w:p>
            <w:pPr>
              <w:rPr>
                <w:rFonts w:hint="eastAsia" w:ascii="宋体" w:hAnsi="宋体"/>
                <w:color w:val="auto"/>
                <w:sz w:val="20"/>
                <w:highlight w:val="none"/>
              </w:rPr>
            </w:pPr>
            <w:r>
              <w:rPr>
                <w:rFonts w:hint="eastAsia" w:ascii="宋体" w:hAnsi="宋体"/>
                <w:color w:val="auto"/>
                <w:sz w:val="20"/>
                <w:highlight w:val="none"/>
              </w:rPr>
              <w:t>①2%农民工工资保证金；</w:t>
            </w:r>
          </w:p>
          <w:p>
            <w:pPr>
              <w:rPr>
                <w:rFonts w:hint="eastAsia" w:ascii="宋体" w:hAnsi="宋体"/>
                <w:color w:val="auto"/>
                <w:sz w:val="20"/>
                <w:highlight w:val="none"/>
              </w:rPr>
            </w:pPr>
            <w:r>
              <w:rPr>
                <w:rFonts w:hint="eastAsia" w:ascii="宋体" w:hAnsi="宋体"/>
                <w:color w:val="auto"/>
                <w:sz w:val="20"/>
                <w:highlight w:val="none"/>
              </w:rPr>
              <w:t>②13%暂扣款。</w:t>
            </w:r>
          </w:p>
          <w:p>
            <w:pPr>
              <w:rPr>
                <w:rFonts w:hint="eastAsia"/>
                <w:color w:val="auto"/>
                <w:highlight w:val="none"/>
              </w:rPr>
            </w:pPr>
            <w:r>
              <w:rPr>
                <w:rFonts w:hint="eastAsia" w:ascii="宋体" w:hAnsi="宋体"/>
                <w:color w:val="auto"/>
                <w:sz w:val="20"/>
                <w:highlight w:val="none"/>
              </w:rPr>
              <w:t>原则上甲方每次期中间结算支付给乙方的工程结算款控制在当期应付结算款的85%以内。</w:t>
            </w:r>
          </w:p>
          <w:p>
            <w:pPr>
              <w:pStyle w:val="2"/>
              <w:widowControl/>
              <w:spacing w:before="0" w:after="0" w:line="240" w:lineRule="atLeast"/>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4.2.9乙方完成本标段范围内全部工程并通过相关部门组织的竣工验收，最终结算支付前，甲方将扣留经审定的竣工结算金额的3%质量保证金，按本合同有关支付条款支付至乙方应得款项的95%。乙方应在甲方所在地进行无拖欠农民工工资公示（或登报）5天。待甲方确认乙方没有影响甲方声誉、利益的纠纷（包括恶意拖欠民工工资或第三方欠款或环境污染投诉或临时用地复耕不达标等）后，按本合同有关支付条款支付至乙方应得款项的97%。否则甲方有权扣留乙方应得款项，待乙方与各方处理完这些纠纷后方予以支付。</w:t>
            </w:r>
          </w:p>
          <w:p>
            <w:pPr>
              <w:pStyle w:val="2"/>
              <w:widowControl/>
              <w:spacing w:before="0" w:after="0" w:line="240" w:lineRule="atLeast"/>
              <w:jc w:val="left"/>
              <w:rPr>
                <w:rFonts w:hint="eastAsia"/>
                <w:color w:val="auto"/>
                <w:highlight w:val="none"/>
              </w:rPr>
            </w:pPr>
            <w:r>
              <w:rPr>
                <w:rFonts w:hint="eastAsia" w:ascii="宋体" w:hAnsi="宋体" w:eastAsia="宋体"/>
                <w:b w:val="0"/>
                <w:bCs w:val="0"/>
                <w:color w:val="auto"/>
                <w:sz w:val="20"/>
                <w:szCs w:val="20"/>
                <w:highlight w:val="none"/>
              </w:rPr>
              <w:t>4.2.2.10质量保证金待项目缺陷责任期满，本工程通过缺陷修复验收后，乙方应书面提出退款申请，甲方扣除乙方所承担工程在缺陷责任期内所发生的缺陷修复费用后，待发包人将质量保证金拨付到甲方银行账户后，且甲方派驻的财务人员确认乙方在本项目无涉税、欠款等风险后，甲方将余款全部付清给乙方。质量保证金退还时不计利息；如质量保证金不能满足修复费用，则不足部分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3" w:type="dxa"/>
            <w:noWrap w:val="0"/>
            <w:vAlign w:val="center"/>
          </w:tcPr>
          <w:p>
            <w:pPr>
              <w:ind w:firstLine="200" w:firstLineChars="100"/>
              <w:rPr>
                <w:rFonts w:hint="eastAsia" w:ascii="宋体" w:hAnsi="宋体"/>
                <w:color w:val="auto"/>
                <w:sz w:val="20"/>
                <w:highlight w:val="none"/>
              </w:rPr>
            </w:pPr>
            <w:r>
              <w:rPr>
                <w:rFonts w:hint="eastAsia" w:ascii="宋体" w:hAnsi="宋体"/>
                <w:color w:val="auto"/>
                <w:kern w:val="0"/>
                <w:sz w:val="20"/>
                <w:highlight w:val="none"/>
                <w:lang w:val="en-US" w:eastAsia="zh-CN"/>
              </w:rPr>
              <w:t>3</w:t>
            </w:r>
          </w:p>
        </w:tc>
        <w:tc>
          <w:tcPr>
            <w:tcW w:w="3074" w:type="dxa"/>
            <w:noWrap w:val="0"/>
            <w:vAlign w:val="center"/>
          </w:tcPr>
          <w:p>
            <w:pPr>
              <w:ind w:firstLine="394" w:firstLineChars="196"/>
              <w:jc w:val="center"/>
              <w:rPr>
                <w:rFonts w:ascii="宋体" w:hAnsi="宋体"/>
                <w:b/>
                <w:color w:val="auto"/>
                <w:sz w:val="20"/>
                <w:highlight w:val="none"/>
              </w:rPr>
            </w:pPr>
            <w:r>
              <w:rPr>
                <w:rFonts w:hint="eastAsia" w:ascii="宋体" w:hAnsi="宋体"/>
                <w:b/>
                <w:color w:val="auto"/>
                <w:sz w:val="20"/>
                <w:highlight w:val="none"/>
              </w:rPr>
              <w:t>4.4农民工工资支付管理</w:t>
            </w:r>
          </w:p>
        </w:tc>
        <w:tc>
          <w:tcPr>
            <w:tcW w:w="4623" w:type="dxa"/>
            <w:noWrap w:val="0"/>
            <w:vAlign w:val="center"/>
          </w:tcPr>
          <w:p>
            <w:pPr>
              <w:pStyle w:val="10"/>
              <w:spacing w:before="0" w:beforeAutospacing="0" w:after="0" w:afterAutospacing="0"/>
              <w:jc w:val="both"/>
              <w:rPr>
                <w:rFonts w:hint="eastAsia"/>
                <w:color w:val="auto"/>
                <w:sz w:val="20"/>
                <w:szCs w:val="20"/>
                <w:highlight w:val="none"/>
              </w:rPr>
            </w:pPr>
            <w:r>
              <w:rPr>
                <w:rFonts w:hint="eastAsia"/>
                <w:color w:val="auto"/>
                <w:sz w:val="20"/>
                <w:szCs w:val="20"/>
                <w:highlight w:val="none"/>
              </w:rPr>
              <w:t>4.4.1.2乙方中期结算后农民工工资支付流程：</w:t>
            </w:r>
          </w:p>
          <w:p>
            <w:pPr>
              <w:pStyle w:val="10"/>
              <w:spacing w:before="0" w:beforeAutospacing="0" w:after="0" w:afterAutospacing="0"/>
              <w:jc w:val="both"/>
              <w:rPr>
                <w:rFonts w:hint="eastAsia" w:cs="Arial"/>
                <w:b/>
                <w:bCs/>
                <w:color w:val="auto"/>
                <w:kern w:val="2"/>
                <w:sz w:val="20"/>
                <w:szCs w:val="20"/>
                <w:highlight w:val="none"/>
              </w:rPr>
            </w:pPr>
            <w:r>
              <w:rPr>
                <w:rFonts w:hint="eastAsia"/>
                <w:color w:val="auto"/>
                <w:sz w:val="20"/>
                <w:szCs w:val="20"/>
                <w:highlight w:val="none"/>
              </w:rPr>
              <w:t>①由甲方项目</w:t>
            </w:r>
            <w:r>
              <w:rPr>
                <w:rFonts w:hint="eastAsia"/>
                <w:color w:val="auto"/>
                <w:sz w:val="20"/>
                <w:szCs w:val="20"/>
                <w:highlight w:val="none"/>
                <w:lang w:val="en-US" w:eastAsia="zh-CN"/>
              </w:rPr>
              <w:t>合约</w:t>
            </w:r>
            <w:r>
              <w:rPr>
                <w:rFonts w:hint="eastAsia"/>
                <w:color w:val="auto"/>
                <w:sz w:val="20"/>
                <w:szCs w:val="20"/>
                <w:highlight w:val="none"/>
              </w:rPr>
              <w:t>部通知乙方负责人根据农民工出勤天数、工资标准、银行卡信息填制《农民工工资发放表》（附件九），发放数须经农民工本人签字确认，由乙方负责人填写《委托项目经理部代发农民工工资申请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3" w:type="dxa"/>
            <w:noWrap w:val="0"/>
            <w:vAlign w:val="center"/>
          </w:tcPr>
          <w:p>
            <w:pPr>
              <w:ind w:firstLine="200" w:firstLineChars="100"/>
              <w:rPr>
                <w:rFonts w:hint="eastAsia" w:ascii="宋体" w:hAnsi="宋体" w:eastAsia="宋体"/>
                <w:color w:val="auto"/>
                <w:sz w:val="20"/>
                <w:highlight w:val="none"/>
                <w:lang w:eastAsia="zh-CN"/>
              </w:rPr>
            </w:pPr>
            <w:r>
              <w:rPr>
                <w:rFonts w:hint="eastAsia" w:ascii="宋体" w:hAnsi="宋体"/>
                <w:color w:val="auto"/>
                <w:sz w:val="20"/>
                <w:highlight w:val="none"/>
                <w:lang w:val="en-US" w:eastAsia="zh-CN"/>
              </w:rPr>
              <w:t>4</w:t>
            </w:r>
          </w:p>
        </w:tc>
        <w:tc>
          <w:tcPr>
            <w:tcW w:w="3074" w:type="dxa"/>
            <w:noWrap w:val="0"/>
            <w:vAlign w:val="center"/>
          </w:tcPr>
          <w:p>
            <w:pPr>
              <w:ind w:firstLine="392" w:firstLineChars="196"/>
              <w:rPr>
                <w:rFonts w:hint="eastAsia" w:ascii="宋体" w:hAnsi="宋体"/>
                <w:color w:val="auto"/>
                <w:sz w:val="20"/>
                <w:highlight w:val="none"/>
              </w:rPr>
            </w:pPr>
          </w:p>
          <w:p>
            <w:pPr>
              <w:ind w:firstLine="200" w:firstLineChars="100"/>
              <w:rPr>
                <w:rFonts w:hint="eastAsia" w:ascii="宋体" w:hAnsi="宋体"/>
                <w:color w:val="auto"/>
                <w:sz w:val="20"/>
                <w:highlight w:val="none"/>
              </w:rPr>
            </w:pPr>
            <w:r>
              <w:rPr>
                <w:rFonts w:hint="eastAsia" w:ascii="宋体" w:hAnsi="宋体"/>
                <w:color w:val="auto"/>
                <w:sz w:val="20"/>
                <w:highlight w:val="none"/>
              </w:rPr>
              <w:t>5.材料物资和机具设备</w:t>
            </w:r>
          </w:p>
          <w:p>
            <w:pPr>
              <w:ind w:firstLine="394" w:firstLineChars="196"/>
              <w:rPr>
                <w:rFonts w:ascii="宋体" w:hAnsi="宋体"/>
                <w:b/>
                <w:color w:val="auto"/>
                <w:sz w:val="20"/>
                <w:highlight w:val="none"/>
              </w:rPr>
            </w:pPr>
          </w:p>
        </w:tc>
        <w:tc>
          <w:tcPr>
            <w:tcW w:w="4623" w:type="dxa"/>
            <w:noWrap w:val="0"/>
            <w:vAlign w:val="center"/>
          </w:tcPr>
          <w:p>
            <w:pPr>
              <w:pStyle w:val="10"/>
              <w:spacing w:before="0" w:beforeAutospacing="0" w:after="0" w:afterAutospacing="0"/>
              <w:jc w:val="both"/>
              <w:rPr>
                <w:rFonts w:hint="eastAsia" w:cs="Arial"/>
                <w:b/>
                <w:bCs/>
                <w:color w:val="auto"/>
                <w:kern w:val="2"/>
                <w:sz w:val="20"/>
                <w:szCs w:val="20"/>
                <w:highlight w:val="none"/>
              </w:rPr>
            </w:pPr>
            <w:r>
              <w:rPr>
                <w:rFonts w:hint="eastAsia" w:cs="Arial"/>
                <w:b/>
                <w:bCs/>
                <w:color w:val="auto"/>
                <w:kern w:val="2"/>
                <w:sz w:val="20"/>
                <w:szCs w:val="20"/>
                <w:highlight w:val="none"/>
              </w:rPr>
              <w:t>5.1.1</w:t>
            </w:r>
          </w:p>
          <w:p>
            <w:pPr>
              <w:pStyle w:val="10"/>
              <w:spacing w:before="0" w:beforeAutospacing="0" w:after="0" w:afterAutospacing="0"/>
              <w:jc w:val="both"/>
              <w:rPr>
                <w:rFonts w:hint="eastAsia" w:cs="Arial"/>
                <w:color w:val="auto"/>
                <w:kern w:val="2"/>
                <w:sz w:val="20"/>
                <w:szCs w:val="20"/>
                <w:highlight w:val="none"/>
              </w:rPr>
            </w:pPr>
            <w:r>
              <w:rPr>
                <w:rFonts w:hint="eastAsia" w:cs="Arial"/>
                <w:color w:val="auto"/>
                <w:kern w:val="2"/>
                <w:sz w:val="20"/>
                <w:szCs w:val="20"/>
                <w:highlight w:val="none"/>
              </w:rPr>
              <w:t>②乙方应授权专人</w:t>
            </w:r>
            <w:commentRangeStart w:id="0"/>
            <w:r>
              <w:rPr>
                <w:rFonts w:hint="eastAsia" w:cs="Arial"/>
                <w:color w:val="auto"/>
                <w:kern w:val="2"/>
                <w:sz w:val="20"/>
                <w:szCs w:val="20"/>
                <w:highlight w:val="none"/>
              </w:rPr>
              <w:t>领用材料，若累计领用量超出理论用量的材料款在乙方当月劳务费结算时按上述材料的不含税购进价从结算款中核减，并扣减与超出部分金额相等的违约金。</w:t>
            </w:r>
            <w:commentRangeEnd w:id="0"/>
            <w:r>
              <w:rPr>
                <w:color w:val="auto"/>
                <w:highlight w:val="none"/>
              </w:rPr>
              <w:commentReference w:id="0"/>
            </w:r>
          </w:p>
          <w:p>
            <w:pPr>
              <w:pStyle w:val="10"/>
              <w:spacing w:before="0" w:beforeAutospacing="0" w:after="0" w:afterAutospacing="0"/>
              <w:jc w:val="both"/>
              <w:rPr>
                <w:rFonts w:hint="eastAsia"/>
                <w:color w:val="auto"/>
                <w:sz w:val="20"/>
                <w:szCs w:val="20"/>
                <w:highlight w:val="none"/>
              </w:rPr>
            </w:pPr>
            <w:r>
              <w:rPr>
                <w:rFonts w:hint="eastAsia"/>
                <w:color w:val="auto"/>
                <w:sz w:val="20"/>
                <w:szCs w:val="20"/>
                <w:highlight w:val="none"/>
              </w:rPr>
              <w:t>更换，由此增加的费用和工期延误由乙方承担。</w:t>
            </w:r>
          </w:p>
          <w:p>
            <w:pPr>
              <w:pStyle w:val="10"/>
              <w:spacing w:before="0" w:beforeAutospacing="0" w:after="0" w:afterAutospacing="0"/>
              <w:jc w:val="both"/>
              <w:rPr>
                <w:rFonts w:hint="eastAsia" w:eastAsia="宋体"/>
                <w:b/>
                <w:bCs/>
                <w:color w:val="auto"/>
                <w:sz w:val="20"/>
                <w:szCs w:val="20"/>
                <w:highlight w:val="none"/>
                <w:lang w:eastAsia="zh-CN"/>
              </w:rPr>
            </w:pPr>
            <w:r>
              <w:rPr>
                <w:rFonts w:hint="eastAsia"/>
                <w:b/>
                <w:bCs/>
                <w:color w:val="auto"/>
                <w:sz w:val="20"/>
                <w:szCs w:val="20"/>
                <w:highlight w:val="none"/>
              </w:rPr>
              <w:t>新增条款</w:t>
            </w:r>
            <w:r>
              <w:rPr>
                <w:rFonts w:hint="eastAsia"/>
                <w:b/>
                <w:bCs/>
                <w:color w:val="auto"/>
                <w:sz w:val="20"/>
                <w:szCs w:val="20"/>
                <w:highlight w:val="none"/>
                <w:lang w:eastAsia="zh-CN"/>
              </w:rPr>
              <w:t>：</w:t>
            </w:r>
          </w:p>
          <w:p>
            <w:pPr>
              <w:pStyle w:val="10"/>
              <w:spacing w:before="0" w:beforeAutospacing="0" w:after="0" w:afterAutospacing="0"/>
              <w:jc w:val="both"/>
              <w:rPr>
                <w:rFonts w:hint="eastAsia"/>
                <w:color w:val="auto"/>
                <w:sz w:val="20"/>
                <w:szCs w:val="20"/>
                <w:highlight w:val="none"/>
              </w:rPr>
            </w:pPr>
            <w:r>
              <w:rPr>
                <w:rFonts w:hint="eastAsia" w:cs="Arial"/>
                <w:b/>
                <w:bCs/>
                <w:color w:val="auto"/>
                <w:kern w:val="2"/>
                <w:sz w:val="20"/>
                <w:szCs w:val="20"/>
                <w:highlight w:val="none"/>
              </w:rPr>
              <w:t>5.2</w:t>
            </w:r>
            <w:r>
              <w:rPr>
                <w:rFonts w:hint="eastAsia" w:cs="Arial"/>
                <w:color w:val="auto"/>
                <w:kern w:val="2"/>
                <w:sz w:val="20"/>
                <w:szCs w:val="20"/>
                <w:highlight w:val="none"/>
              </w:rPr>
              <w:t xml:space="preserve"> </w:t>
            </w:r>
            <w:r>
              <w:rPr>
                <w:rFonts w:hint="eastAsia" w:cs="Arial"/>
                <w:b/>
                <w:bCs/>
                <w:color w:val="auto"/>
                <w:kern w:val="2"/>
                <w:sz w:val="20"/>
                <w:szCs w:val="20"/>
                <w:highlight w:val="none"/>
                <w:lang w:val="en-US" w:eastAsia="zh-CN"/>
              </w:rPr>
              <w:t>.1</w:t>
            </w:r>
            <w:r>
              <w:rPr>
                <w:rFonts w:hint="eastAsia" w:cs="Arial"/>
                <w:color w:val="auto"/>
                <w:kern w:val="2"/>
                <w:sz w:val="20"/>
                <w:szCs w:val="20"/>
                <w:highlight w:val="none"/>
              </w:rPr>
              <w:t>乙方自行采购的材料必须提供相关的合格证明，甲方有权拒绝乙方自备的不合格材料或工程设备，并要求乙方立即进行更换，由此增加的费用和工期延误由乙方承担。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643" w:type="dxa"/>
            <w:noWrap w:val="0"/>
            <w:vAlign w:val="center"/>
          </w:tcPr>
          <w:p>
            <w:pPr>
              <w:pStyle w:val="2"/>
              <w:widowControl/>
              <w:spacing w:line="240" w:lineRule="atLeast"/>
              <w:jc w:val="center"/>
              <w:rPr>
                <w:rFonts w:hint="eastAsia" w:ascii="宋体" w:hAnsi="宋体" w:eastAsia="宋体"/>
                <w:b w:val="0"/>
                <w:bCs w:val="0"/>
                <w:color w:val="auto"/>
                <w:sz w:val="20"/>
                <w:szCs w:val="20"/>
                <w:highlight w:val="none"/>
                <w:lang w:eastAsia="zh-CN"/>
              </w:rPr>
            </w:pPr>
            <w:r>
              <w:rPr>
                <w:rFonts w:hint="eastAsia" w:ascii="宋体" w:hAnsi="宋体" w:eastAsia="宋体"/>
                <w:b w:val="0"/>
                <w:bCs w:val="0"/>
                <w:color w:val="auto"/>
                <w:sz w:val="20"/>
                <w:szCs w:val="20"/>
                <w:highlight w:val="none"/>
                <w:lang w:val="en-US" w:eastAsia="zh-CN"/>
              </w:rPr>
              <w:t>5</w:t>
            </w:r>
          </w:p>
        </w:tc>
        <w:tc>
          <w:tcPr>
            <w:tcW w:w="3074" w:type="dxa"/>
            <w:noWrap w:val="0"/>
            <w:vAlign w:val="center"/>
          </w:tcPr>
          <w:p>
            <w:pPr>
              <w:tabs>
                <w:tab w:val="left" w:pos="5290"/>
              </w:tabs>
              <w:spacing w:line="400" w:lineRule="exact"/>
              <w:ind w:firstLine="394" w:firstLineChars="196"/>
              <w:outlineLvl w:val="0"/>
              <w:rPr>
                <w:rFonts w:ascii="宋体" w:hAnsi="宋体"/>
                <w:b/>
                <w:bCs/>
                <w:color w:val="auto"/>
                <w:sz w:val="20"/>
                <w:highlight w:val="none"/>
              </w:rPr>
            </w:pPr>
            <w:r>
              <w:rPr>
                <w:rFonts w:ascii="宋体" w:hAnsi="宋体"/>
                <w:b/>
                <w:bCs/>
                <w:color w:val="auto"/>
                <w:sz w:val="20"/>
                <w:highlight w:val="none"/>
              </w:rPr>
              <w:t>6.</w:t>
            </w:r>
            <w:r>
              <w:rPr>
                <w:rFonts w:hint="eastAsia" w:ascii="宋体" w:hAnsi="宋体"/>
                <w:b/>
                <w:bCs/>
                <w:color w:val="auto"/>
                <w:sz w:val="20"/>
                <w:highlight w:val="none"/>
              </w:rPr>
              <w:t>甲方的责任和义务</w:t>
            </w:r>
          </w:p>
          <w:p>
            <w:pPr>
              <w:pStyle w:val="2"/>
              <w:widowControl/>
              <w:spacing w:line="240" w:lineRule="atLeast"/>
              <w:ind w:firstLine="400" w:firstLineChars="200"/>
              <w:jc w:val="left"/>
              <w:rPr>
                <w:rFonts w:hint="eastAsia" w:ascii="宋体" w:hAnsi="宋体" w:eastAsia="宋体"/>
                <w:b w:val="0"/>
                <w:bCs w:val="0"/>
                <w:color w:val="auto"/>
                <w:sz w:val="20"/>
                <w:szCs w:val="20"/>
                <w:highlight w:val="none"/>
              </w:rPr>
            </w:pPr>
          </w:p>
        </w:tc>
        <w:tc>
          <w:tcPr>
            <w:tcW w:w="4623" w:type="dxa"/>
            <w:noWrap w:val="0"/>
            <w:vAlign w:val="center"/>
          </w:tcPr>
          <w:p>
            <w:pPr>
              <w:pStyle w:val="2"/>
              <w:widowControl/>
              <w:spacing w:before="0" w:after="0" w:line="240" w:lineRule="atLeast"/>
              <w:jc w:val="left"/>
              <w:rPr>
                <w:rFonts w:hint="eastAsia" w:ascii="宋体" w:hAnsi="宋体" w:eastAsia="宋体"/>
                <w:color w:val="auto"/>
                <w:sz w:val="20"/>
                <w:szCs w:val="20"/>
                <w:highlight w:val="none"/>
              </w:rPr>
            </w:pPr>
            <w:r>
              <w:rPr>
                <w:rFonts w:hint="eastAsia" w:ascii="宋体" w:hAnsi="宋体" w:eastAsia="宋体"/>
                <w:color w:val="auto"/>
                <w:sz w:val="20"/>
                <w:szCs w:val="20"/>
                <w:highlight w:val="none"/>
              </w:rPr>
              <w:t>增加条款：</w:t>
            </w:r>
          </w:p>
          <w:p>
            <w:pPr>
              <w:rPr>
                <w:color w:val="auto"/>
                <w:highlight w:val="none"/>
              </w:rPr>
            </w:pPr>
          </w:p>
          <w:p>
            <w:pPr>
              <w:widowControl/>
              <w:tabs>
                <w:tab w:val="left" w:pos="5290"/>
              </w:tabs>
              <w:spacing w:line="240" w:lineRule="exact"/>
              <w:ind w:firstLine="394" w:firstLineChars="196"/>
              <w:jc w:val="left"/>
              <w:outlineLvl w:val="0"/>
              <w:rPr>
                <w:rFonts w:hint="eastAsia" w:ascii="宋体" w:hAnsi="宋体"/>
                <w:color w:val="auto"/>
                <w:sz w:val="20"/>
                <w:highlight w:val="none"/>
              </w:rPr>
            </w:pPr>
            <w:r>
              <w:rPr>
                <w:rFonts w:hint="eastAsia" w:ascii="宋体" w:hAnsi="宋体"/>
                <w:b/>
                <w:bCs/>
                <w:color w:val="auto"/>
                <w:sz w:val="20"/>
                <w:highlight w:val="none"/>
              </w:rPr>
              <w:t>6.9</w:t>
            </w:r>
            <w:r>
              <w:rPr>
                <w:rFonts w:hint="eastAsia" w:ascii="宋体" w:hAnsi="宋体" w:cs="宋体"/>
                <w:color w:val="auto"/>
                <w:kern w:val="0"/>
                <w:sz w:val="20"/>
                <w:highlight w:val="none"/>
              </w:rPr>
              <w:t>甲方有权书面通知乙方更换其认为不称职的项目经理或其他主要项目管理人员。乙方应在接到更换通知后7天内向甲方提出书面的更换报告，报告中需包括新任命的项目经理的注册执业资格、管理经验等资料。乙方拒绝更换的，应向甲方支付50000/人.次的违约金，未在限期内整改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3" w:type="dxa"/>
            <w:noWrap w:val="0"/>
            <w:vAlign w:val="center"/>
          </w:tcPr>
          <w:p>
            <w:pPr>
              <w:pStyle w:val="2"/>
              <w:widowControl/>
              <w:spacing w:line="240" w:lineRule="atLeast"/>
              <w:jc w:val="center"/>
              <w:outlineLvl w:val="1"/>
              <w:rPr>
                <w:rFonts w:hint="eastAsia" w:ascii="宋体" w:hAnsi="宋体" w:eastAsia="宋体"/>
                <w:b w:val="0"/>
                <w:bCs w:val="0"/>
                <w:color w:val="auto"/>
                <w:sz w:val="20"/>
                <w:szCs w:val="20"/>
                <w:highlight w:val="none"/>
              </w:rPr>
            </w:pPr>
            <w:r>
              <w:rPr>
                <w:rFonts w:hint="eastAsia" w:ascii="宋体" w:hAnsi="宋体" w:eastAsia="宋体"/>
                <w:b w:val="0"/>
                <w:bCs w:val="0"/>
                <w:color w:val="auto"/>
                <w:kern w:val="0"/>
                <w:sz w:val="20"/>
                <w:szCs w:val="20"/>
                <w:highlight w:val="none"/>
                <w:lang w:val="en-US" w:eastAsia="zh-CN"/>
              </w:rPr>
              <w:t>6</w:t>
            </w:r>
          </w:p>
        </w:tc>
        <w:tc>
          <w:tcPr>
            <w:tcW w:w="3074" w:type="dxa"/>
            <w:noWrap w:val="0"/>
            <w:vAlign w:val="center"/>
          </w:tcPr>
          <w:p>
            <w:pPr>
              <w:pStyle w:val="2"/>
              <w:widowControl/>
              <w:spacing w:line="240" w:lineRule="atLeast"/>
              <w:ind w:firstLine="402" w:firstLineChars="200"/>
              <w:jc w:val="center"/>
              <w:rPr>
                <w:rFonts w:hint="eastAsia" w:ascii="宋体" w:hAnsi="宋体" w:eastAsia="宋体"/>
                <w:b w:val="0"/>
                <w:bCs w:val="0"/>
                <w:color w:val="auto"/>
                <w:sz w:val="20"/>
                <w:szCs w:val="20"/>
                <w:highlight w:val="none"/>
              </w:rPr>
            </w:pPr>
            <w:r>
              <w:rPr>
                <w:rFonts w:hint="eastAsia" w:ascii="宋体" w:hAnsi="宋体" w:eastAsia="宋体"/>
                <w:color w:val="auto"/>
                <w:sz w:val="20"/>
                <w:szCs w:val="20"/>
                <w:highlight w:val="none"/>
              </w:rPr>
              <w:t>7.乙方的责任和义务</w:t>
            </w:r>
          </w:p>
        </w:tc>
        <w:tc>
          <w:tcPr>
            <w:tcW w:w="4623" w:type="dxa"/>
            <w:noWrap w:val="0"/>
            <w:vAlign w:val="center"/>
          </w:tcPr>
          <w:p>
            <w:pPr>
              <w:widowControl/>
              <w:rPr>
                <w:rFonts w:hint="eastAsia" w:ascii="宋体" w:hAnsi="宋体" w:eastAsia="宋体"/>
                <w:color w:val="auto"/>
                <w:sz w:val="20"/>
                <w:szCs w:val="20"/>
                <w:highlight w:val="none"/>
              </w:rPr>
            </w:pPr>
            <w:r>
              <w:rPr>
                <w:rFonts w:ascii="宋体" w:hAnsi="宋体" w:cs="宋体"/>
                <w:b/>
                <w:color w:val="auto"/>
                <w:kern w:val="0"/>
                <w:sz w:val="20"/>
                <w:highlight w:val="none"/>
              </w:rPr>
              <w:t>7.13</w:t>
            </w:r>
            <w:r>
              <w:rPr>
                <w:rFonts w:hint="eastAsia" w:ascii="宋体" w:hAnsi="宋体" w:cs="宋体"/>
                <w:color w:val="auto"/>
                <w:kern w:val="0"/>
                <w:sz w:val="20"/>
                <w:highlight w:val="none"/>
              </w:rPr>
              <w:t>甲方在资金暂时不到位，乙方不得因此而影响正常施工，不得聚众闹事，做到对甲方的谅解，否则每次乙方须向甲方支付违约金5-20万元（大写：伍至贰拾万元），甲方可直接从月结算款中核减。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3" w:type="dxa"/>
            <w:noWrap w:val="0"/>
            <w:vAlign w:val="center"/>
          </w:tcPr>
          <w:p>
            <w:pPr>
              <w:pStyle w:val="2"/>
              <w:widowControl/>
              <w:spacing w:line="240" w:lineRule="atLeast"/>
              <w:jc w:val="center"/>
              <w:rPr>
                <w:rFonts w:hint="eastAsia" w:ascii="宋体" w:hAnsi="宋体" w:eastAsia="宋体"/>
                <w:b w:val="0"/>
                <w:bCs w:val="0"/>
                <w:color w:val="auto"/>
                <w:sz w:val="20"/>
                <w:szCs w:val="20"/>
                <w:highlight w:val="none"/>
                <w:lang w:eastAsia="zh-CN"/>
              </w:rPr>
            </w:pPr>
            <w:r>
              <w:rPr>
                <w:rFonts w:hint="eastAsia" w:ascii="宋体" w:hAnsi="宋体" w:eastAsia="宋体"/>
                <w:b w:val="0"/>
                <w:bCs w:val="0"/>
                <w:color w:val="auto"/>
                <w:sz w:val="20"/>
                <w:szCs w:val="20"/>
                <w:highlight w:val="none"/>
                <w:lang w:val="en-US" w:eastAsia="zh-CN"/>
              </w:rPr>
              <w:t>7</w:t>
            </w:r>
          </w:p>
        </w:tc>
        <w:tc>
          <w:tcPr>
            <w:tcW w:w="3074" w:type="dxa"/>
            <w:noWrap w:val="0"/>
            <w:vAlign w:val="center"/>
          </w:tcPr>
          <w:p>
            <w:pPr>
              <w:pStyle w:val="2"/>
              <w:widowControl/>
              <w:spacing w:line="240" w:lineRule="atLeast"/>
              <w:ind w:firstLine="400" w:firstLineChars="200"/>
              <w:jc w:val="left"/>
              <w:rPr>
                <w:rFonts w:hint="eastAsia"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8.4工程变更</w:t>
            </w:r>
          </w:p>
        </w:tc>
        <w:tc>
          <w:tcPr>
            <w:tcW w:w="4623" w:type="dxa"/>
            <w:noWrap w:val="0"/>
            <w:vAlign w:val="center"/>
          </w:tcPr>
          <w:p>
            <w:pPr>
              <w:pStyle w:val="2"/>
              <w:widowControl/>
              <w:spacing w:before="0" w:after="0" w:line="240" w:lineRule="atLeast"/>
              <w:jc w:val="left"/>
              <w:rPr>
                <w:rFonts w:hint="eastAsia" w:ascii="宋体" w:hAnsi="宋体" w:eastAsia="宋体"/>
                <w:color w:val="auto"/>
                <w:sz w:val="20"/>
                <w:szCs w:val="20"/>
                <w:highlight w:val="none"/>
              </w:rPr>
            </w:pPr>
            <w:r>
              <w:rPr>
                <w:rFonts w:hint="eastAsia" w:ascii="宋体" w:hAnsi="宋体" w:eastAsia="宋体"/>
                <w:color w:val="auto"/>
                <w:sz w:val="20"/>
                <w:szCs w:val="20"/>
                <w:highlight w:val="none"/>
              </w:rPr>
              <w:t>增加条款：</w:t>
            </w:r>
          </w:p>
          <w:p>
            <w:pPr>
              <w:pStyle w:val="2"/>
              <w:widowControl/>
              <w:spacing w:before="0" w:after="0" w:line="240" w:lineRule="atLeast"/>
              <w:jc w:val="left"/>
              <w:rPr>
                <w:rFonts w:hint="eastAsia" w:ascii="宋体" w:hAnsi="宋体" w:eastAsia="宋体"/>
                <w:b w:val="0"/>
                <w:bCs w:val="0"/>
                <w:color w:val="auto"/>
                <w:sz w:val="20"/>
                <w:szCs w:val="20"/>
                <w:highlight w:val="none"/>
              </w:rPr>
            </w:pPr>
            <w:r>
              <w:rPr>
                <w:rFonts w:hint="eastAsia" w:ascii="宋体" w:hAnsi="宋体" w:eastAsia="宋体"/>
                <w:color w:val="auto"/>
                <w:sz w:val="20"/>
                <w:szCs w:val="20"/>
                <w:highlight w:val="none"/>
              </w:rPr>
              <w:t>8.4.3</w:t>
            </w:r>
            <w:r>
              <w:rPr>
                <w:rFonts w:hint="eastAsia" w:ascii="宋体" w:hAnsi="宋体" w:eastAsia="宋体" w:cs="Arial"/>
                <w:b w:val="0"/>
                <w:bCs w:val="0"/>
                <w:color w:val="auto"/>
                <w:sz w:val="20"/>
                <w:szCs w:val="20"/>
                <w:highlight w:val="none"/>
              </w:rPr>
              <w:t>施工过程中，在乙方施工的工程范围发生了工程变更索赔事件，按照甲方与总承包（或专业）工程发包人签订的全部合同相关规定执行，由乙方申报原始资料，甲方负责评定上报。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3" w:type="dxa"/>
            <w:noWrap w:val="0"/>
            <w:vAlign w:val="center"/>
          </w:tcPr>
          <w:p>
            <w:pPr>
              <w:pStyle w:val="2"/>
              <w:widowControl/>
              <w:spacing w:line="240" w:lineRule="atLeast"/>
              <w:jc w:val="center"/>
              <w:rPr>
                <w:rFonts w:hint="eastAsia" w:ascii="宋体" w:hAnsi="宋体" w:eastAsia="宋体"/>
                <w:b w:val="0"/>
                <w:bCs w:val="0"/>
                <w:color w:val="auto"/>
                <w:sz w:val="20"/>
                <w:szCs w:val="20"/>
                <w:highlight w:val="none"/>
                <w:lang w:eastAsia="zh-CN"/>
              </w:rPr>
            </w:pPr>
            <w:r>
              <w:rPr>
                <w:rFonts w:hint="eastAsia" w:ascii="宋体" w:hAnsi="宋体" w:eastAsia="宋体"/>
                <w:b w:val="0"/>
                <w:bCs w:val="0"/>
                <w:color w:val="auto"/>
                <w:sz w:val="20"/>
                <w:szCs w:val="20"/>
                <w:highlight w:val="none"/>
                <w:lang w:val="en-US" w:eastAsia="zh-CN"/>
              </w:rPr>
              <w:t>8</w:t>
            </w:r>
          </w:p>
        </w:tc>
        <w:tc>
          <w:tcPr>
            <w:tcW w:w="3074" w:type="dxa"/>
            <w:noWrap w:val="0"/>
            <w:vAlign w:val="center"/>
          </w:tcPr>
          <w:p>
            <w:pPr>
              <w:pStyle w:val="2"/>
              <w:widowControl/>
              <w:spacing w:line="240" w:lineRule="atLeast"/>
              <w:ind w:firstLine="400" w:firstLineChars="200"/>
              <w:jc w:val="left"/>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9.3</w:t>
            </w:r>
          </w:p>
        </w:tc>
        <w:tc>
          <w:tcPr>
            <w:tcW w:w="4623" w:type="dxa"/>
            <w:noWrap w:val="0"/>
            <w:vAlign w:val="center"/>
          </w:tcPr>
          <w:p>
            <w:pPr>
              <w:pStyle w:val="2"/>
              <w:widowControl/>
              <w:spacing w:before="0" w:after="0" w:line="240" w:lineRule="atLeast"/>
              <w:jc w:val="left"/>
              <w:rPr>
                <w:rFonts w:hint="eastAsia" w:ascii="宋体" w:hAnsi="宋体" w:eastAsia="宋体"/>
                <w:color w:val="auto"/>
                <w:sz w:val="20"/>
                <w:szCs w:val="20"/>
                <w:highlight w:val="none"/>
              </w:rPr>
            </w:pPr>
            <w:r>
              <w:rPr>
                <w:rFonts w:hint="eastAsia" w:ascii="宋体" w:hAnsi="宋体" w:eastAsia="宋体"/>
                <w:b w:val="0"/>
                <w:bCs w:val="0"/>
                <w:color w:val="auto"/>
                <w:sz w:val="20"/>
                <w:szCs w:val="20"/>
                <w:highlight w:val="none"/>
              </w:rPr>
              <w:t>9.3乙方违反合同约定，工程质量未达到合同约定要求的，甲方有权终止合同，并且由此引起的一切损失由乙方负责并赔偿甲方的损失。</w:t>
            </w:r>
          </w:p>
        </w:tc>
      </w:tr>
    </w:tbl>
    <w:p>
      <w:pPr>
        <w:spacing w:line="400" w:lineRule="exact"/>
        <w:ind w:firstLine="402" w:firstLineChars="200"/>
        <w:rPr>
          <w:rFonts w:ascii="宋体" w:hAnsi="宋体" w:cs="宋体"/>
          <w:b/>
          <w:bCs/>
          <w:color w:val="auto"/>
          <w:sz w:val="20"/>
          <w:highlight w:val="none"/>
        </w:rPr>
      </w:pPr>
      <w:r>
        <w:rPr>
          <w:rFonts w:hint="eastAsia" w:ascii="宋体" w:hAnsi="宋体" w:cs="宋体"/>
          <w:b/>
          <w:bCs/>
          <w:color w:val="auto"/>
          <w:sz w:val="20"/>
          <w:highlight w:val="none"/>
        </w:rPr>
        <w:t>二、专用条款补充：</w:t>
      </w:r>
    </w:p>
    <w:p>
      <w:pPr>
        <w:numPr>
          <w:ilvl w:val="0"/>
          <w:numId w:val="6"/>
        </w:numPr>
        <w:spacing w:line="400" w:lineRule="exact"/>
        <w:ind w:firstLine="402" w:firstLineChars="200"/>
        <w:rPr>
          <w:rFonts w:hint="eastAsia" w:ascii="宋体" w:hAnsi="宋体"/>
          <w:b/>
          <w:color w:val="auto"/>
          <w:sz w:val="20"/>
          <w:highlight w:val="none"/>
        </w:rPr>
      </w:pPr>
      <w:r>
        <w:rPr>
          <w:rFonts w:hint="eastAsia" w:ascii="宋体" w:hAnsi="宋体"/>
          <w:b/>
          <w:color w:val="auto"/>
          <w:sz w:val="20"/>
          <w:highlight w:val="none"/>
        </w:rPr>
        <w:t>材料管理：</w:t>
      </w:r>
    </w:p>
    <w:p>
      <w:pPr>
        <w:numPr>
          <w:ilvl w:val="0"/>
          <w:numId w:val="7"/>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 xml:space="preserve"> 除《甲方供应材料、设备计划一览表》表中的材料必须由甲方供应外，其他为完成本合同工程施工所需的全部材料由乙方自行采购，费用含在合同单价中。乙方可选择自行采购，但进场的产品必须符合本合同段相关要求，不合格品甲方有权要求乙方清退出场，相关损失由乙方承担。如发现乙方私自外购《甲方供应材料、设备计划一览表》表中的材料，对涉及的相关实体工程量甲方将不予计量。</w:t>
      </w:r>
    </w:p>
    <w:p>
      <w:pPr>
        <w:numPr>
          <w:ilvl w:val="0"/>
          <w:numId w:val="7"/>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甲供材料由甲方运至乙方指定地点，乙方负责所有到场材料的进场便道的畅通、到场材料的卸车、保管、场内二次搬运等，为完成以上工作所涉及的人工及机械费用由乙方承担，已包含在单价中。若因乙方原因造成便道无法通行，造成材料无法运至现场的，需存储至他处的，乙方负责所有材料转运、装吊等费用。</w:t>
      </w:r>
    </w:p>
    <w:p>
      <w:pPr>
        <w:numPr>
          <w:ilvl w:val="0"/>
          <w:numId w:val="7"/>
        </w:numPr>
        <w:tabs>
          <w:tab w:val="left" w:pos="0"/>
        </w:tabs>
        <w:spacing w:line="400" w:lineRule="exact"/>
        <w:rPr>
          <w:rFonts w:ascii="宋体" w:hAnsi="宋体"/>
          <w:color w:val="auto"/>
          <w:sz w:val="20"/>
          <w:highlight w:val="none"/>
        </w:rPr>
      </w:pPr>
      <w:r>
        <w:rPr>
          <w:rFonts w:ascii="宋体" w:hAnsi="宋体"/>
          <w:color w:val="auto"/>
          <w:sz w:val="20"/>
          <w:highlight w:val="none"/>
        </w:rPr>
        <w:t>乙方所领用的材料如丢失、被盗，或乙方拒签甲方下发的任何文件，均视乙方为严重违约，乙方除了承担按采购价格计算所得的材料损失外，视情节轻重甲方有权对乙方处以10-50万元的违约罚金</w:t>
      </w:r>
    </w:p>
    <w:p>
      <w:pPr>
        <w:numPr>
          <w:ilvl w:val="0"/>
          <w:numId w:val="6"/>
        </w:numPr>
        <w:spacing w:line="400" w:lineRule="exact"/>
        <w:ind w:firstLine="402" w:firstLineChars="200"/>
        <w:rPr>
          <w:rFonts w:hint="eastAsia" w:ascii="宋体" w:hAnsi="宋体"/>
          <w:b/>
          <w:color w:val="auto"/>
          <w:sz w:val="20"/>
          <w:highlight w:val="none"/>
        </w:rPr>
      </w:pPr>
      <w:r>
        <w:rPr>
          <w:rFonts w:hint="eastAsia" w:ascii="宋体" w:hAnsi="宋体"/>
          <w:b/>
          <w:color w:val="auto"/>
          <w:sz w:val="20"/>
          <w:highlight w:val="none"/>
        </w:rPr>
        <w:t>施工用电</w:t>
      </w:r>
    </w:p>
    <w:p>
      <w:pPr>
        <w:numPr>
          <w:ilvl w:val="0"/>
          <w:numId w:val="8"/>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施工现场临时用电必须符合《施工现场临时用电安全技术规范》（JGJ46）要求。</w:t>
      </w:r>
    </w:p>
    <w:p>
      <w:pPr>
        <w:numPr>
          <w:ilvl w:val="0"/>
          <w:numId w:val="8"/>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现场如需安装变压器的由甲方负责安装，现场施工用电电费由乙方负责，按当地电网公司电费标准收取；线路由乙方自行负责，包括一级配电箱安装、一级电箱输出及二级配电箱输出到各用电点末端的安装、维护、拆除等；电损由乙方承担，原则上每月结算时核减一次。</w:t>
      </w:r>
    </w:p>
    <w:p>
      <w:pPr>
        <w:numPr>
          <w:ilvl w:val="0"/>
          <w:numId w:val="8"/>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施工现场所有的配电箱、电箱内电器元器件、一级电箱、二级配电箱等临时用电设施由甲方统一购买，施工用电及施工用电的设施费用由乙方承担，甲方有权在结算款中扣除。三级配电箱临时用电设施由甲方采购，乙方负责领用、现场安放及维护、保管及完工后拆除回收（回收完好率为85%）、清理场地，如丢失及损坏，乙方必须及时增补，如未及时增补，甲方有权对乙方施工用电进行处理，所发生的费用由乙方承担。</w:t>
      </w:r>
    </w:p>
    <w:p>
      <w:pPr>
        <w:numPr>
          <w:ilvl w:val="0"/>
          <w:numId w:val="8"/>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乙方所购买的电线电缆必须符合现行国标要求。电缆中必须包含全部工作芯线和用作保护零线或保护线的芯线。需要三相五线制配电的电缆线路必须采用五芯电缆。</w:t>
      </w:r>
    </w:p>
    <w:p>
      <w:pPr>
        <w:numPr>
          <w:ilvl w:val="0"/>
          <w:numId w:val="6"/>
        </w:numPr>
        <w:spacing w:line="400" w:lineRule="exact"/>
        <w:ind w:firstLine="402" w:firstLineChars="200"/>
        <w:rPr>
          <w:rFonts w:ascii="宋体" w:hAnsi="宋体"/>
          <w:b/>
          <w:color w:val="auto"/>
          <w:sz w:val="20"/>
          <w:highlight w:val="none"/>
        </w:rPr>
      </w:pPr>
      <w:r>
        <w:rPr>
          <w:rFonts w:hint="eastAsia" w:ascii="宋体" w:hAnsi="宋体"/>
          <w:b/>
          <w:color w:val="auto"/>
          <w:sz w:val="20"/>
          <w:highlight w:val="none"/>
        </w:rPr>
        <w:t>安全文明施工</w:t>
      </w:r>
    </w:p>
    <w:p>
      <w:pPr>
        <w:numPr>
          <w:ilvl w:val="0"/>
          <w:numId w:val="9"/>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安全文明防护用品如：安全帽、反光警示服、防护</w:t>
      </w:r>
      <w:r>
        <w:rPr>
          <w:rFonts w:hint="eastAsia" w:ascii="宋体" w:hAnsi="宋体"/>
          <w:color w:val="auto"/>
          <w:sz w:val="20"/>
          <w:szCs w:val="22"/>
          <w:highlight w:val="none"/>
        </w:rPr>
        <w:t>服、安全绳、夜间施工指示灯</w:t>
      </w:r>
      <w:r>
        <w:rPr>
          <w:rFonts w:hint="eastAsia" w:ascii="宋体" w:hAnsi="宋体"/>
          <w:color w:val="auto"/>
          <w:sz w:val="20"/>
          <w:szCs w:val="22"/>
          <w:highlight w:val="none"/>
          <w:lang w:eastAsia="zh-CN"/>
        </w:rPr>
        <w:t>、</w:t>
      </w:r>
      <w:r>
        <w:rPr>
          <w:rFonts w:hint="eastAsia" w:ascii="宋体" w:hAnsi="宋体"/>
          <w:color w:val="auto"/>
          <w:sz w:val="20"/>
          <w:highlight w:val="none"/>
        </w:rPr>
        <w:t>安全防护栏、人行塔梯等由甲方采购，费用由乙方承担，乙方领用并负责保管，费用从乙方当期工程款中扣除；</w:t>
      </w:r>
    </w:p>
    <w:p>
      <w:pPr>
        <w:numPr>
          <w:ilvl w:val="0"/>
          <w:numId w:val="9"/>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安全文明施工材料如：施工围挡、安全警示锥、警示桩、警示带、铁马、活动式指示牌（标志牌）等由甲方采购，乙方负责领用、现场安放及维护、保管及完工后拆除回收（施工围挡、铁马、活动式指示牌（标志牌）回收完好率为85%，锥桶回收完好率为70%）、清理场地，如丢失及损坏，乙方必须及时增补，如未及时增补，甲方有权对乙方安全文明施工进行处理，所发生的费用由乙方承担。</w:t>
      </w:r>
    </w:p>
    <w:p>
      <w:pPr>
        <w:numPr>
          <w:ilvl w:val="0"/>
          <w:numId w:val="9"/>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当乙方现场安全文明施工达不到甲方要求时，甲方有权对乙方安全文明施工进行处理，所发生的费用可在履约保证金及安全文明施工费中扣除。</w:t>
      </w:r>
    </w:p>
    <w:p>
      <w:pPr>
        <w:numPr>
          <w:ilvl w:val="0"/>
          <w:numId w:val="9"/>
        </w:numPr>
        <w:tabs>
          <w:tab w:val="left" w:pos="0"/>
        </w:tabs>
        <w:spacing w:line="400" w:lineRule="exact"/>
        <w:rPr>
          <w:rFonts w:hint="eastAsia" w:ascii="宋体" w:hAnsi="宋体"/>
          <w:color w:val="auto"/>
          <w:sz w:val="20"/>
          <w:highlight w:val="none"/>
        </w:rPr>
      </w:pPr>
      <w:r>
        <w:rPr>
          <w:rFonts w:hint="eastAsia"/>
          <w:color w:val="auto"/>
          <w:highlight w:val="none"/>
        </w:rPr>
        <w:t xml:space="preserve"> </w:t>
      </w:r>
      <w:r>
        <w:rPr>
          <w:rFonts w:hint="eastAsia" w:ascii="宋体" w:hAnsi="宋体"/>
          <w:color w:val="auto"/>
          <w:sz w:val="20"/>
          <w:highlight w:val="none"/>
        </w:rPr>
        <w:t>乙方必须按文明工地标准组织施工，做到“工完、料净、场地清”。</w:t>
      </w:r>
    </w:p>
    <w:p>
      <w:pPr>
        <w:numPr>
          <w:ilvl w:val="0"/>
          <w:numId w:val="9"/>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 xml:space="preserve"> 每分项施工作业完工后，乙方必须及时做好机械设备、材料堆放和场地清理工作，交付甲方满意的施工现场。</w:t>
      </w:r>
    </w:p>
    <w:p>
      <w:pPr>
        <w:numPr>
          <w:ilvl w:val="0"/>
          <w:numId w:val="6"/>
        </w:numPr>
        <w:spacing w:line="400" w:lineRule="exact"/>
        <w:ind w:firstLine="402" w:firstLineChars="200"/>
        <w:rPr>
          <w:rFonts w:hint="eastAsia" w:ascii="宋体" w:hAnsi="宋体"/>
          <w:b/>
          <w:color w:val="auto"/>
          <w:sz w:val="20"/>
          <w:highlight w:val="none"/>
        </w:rPr>
      </w:pPr>
      <w:r>
        <w:rPr>
          <w:rFonts w:hint="eastAsia" w:ascii="宋体" w:hAnsi="宋体"/>
          <w:b/>
          <w:color w:val="auto"/>
          <w:sz w:val="20"/>
          <w:highlight w:val="none"/>
        </w:rPr>
        <w:t>其他约定</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szCs w:val="22"/>
          <w:highlight w:val="none"/>
        </w:rPr>
        <w:t>工期为12个月，工期不因天气原因调整。</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负责施工工程的施工班组必须经甲方考察满足施工要求后，方能进场施工。</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乙方负责相应施工段的地方协调工作及费用。</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由乙方自行解决施工所需水、电、便道问题，施工过程中基坑（沟槽）抽水、排水、降水等费用均有由乙方承担，以上内容费用均已分摊至分项工程清单中，甲方不另外支付任何费用。</w:t>
      </w:r>
    </w:p>
    <w:p>
      <w:pPr>
        <w:numPr>
          <w:ilvl w:val="0"/>
          <w:numId w:val="10"/>
        </w:numPr>
        <w:tabs>
          <w:tab w:val="left" w:pos="0"/>
        </w:tabs>
        <w:spacing w:line="400" w:lineRule="exact"/>
        <w:rPr>
          <w:rFonts w:ascii="宋体" w:hAnsi="宋体"/>
          <w:color w:val="auto"/>
          <w:sz w:val="20"/>
          <w:highlight w:val="none"/>
        </w:rPr>
      </w:pPr>
      <w:r>
        <w:rPr>
          <w:rFonts w:hint="eastAsia" w:ascii="宋体" w:hAnsi="宋体"/>
          <w:color w:val="auto"/>
          <w:sz w:val="20"/>
          <w:highlight w:val="none"/>
        </w:rPr>
        <w:t>施工现场所有材料包含但不限于甲供材料、基坑（沟槽）挖出的土方、砂等材料归甲方所有并支配，乙方无条件配合。如甲方需调配现场材料，乙方负责装车，费用由乙方承担。</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日常测量工作乙方自行完成，并对其工作质量负责，因乙方测量原因造成的误差、错误而产生的整改或返工费用均由乙方自行承担；内业资料及竣工资料编制由乙方完成。每期计量所需测量资料乙方必须及时提供，不得影响计量。委托资料公司（原则上委托由甲方公司竣工资料小组）完成的质检资料归档、数据库建立、竣工结算资料等费用由乙方承担。</w:t>
      </w:r>
    </w:p>
    <w:p>
      <w:pPr>
        <w:numPr>
          <w:ilvl w:val="0"/>
          <w:numId w:val="10"/>
        </w:numPr>
        <w:tabs>
          <w:tab w:val="left" w:pos="0"/>
        </w:tabs>
        <w:spacing w:line="400" w:lineRule="exact"/>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相邻弯头镇墩或阀井之间的管道施工（包含管槽开挖、回填、换填、管道安装、钢板桩等），在完成了前后弯头镇墩或阀井的施工之前，已完成的管道施工工程量暂按</w:t>
      </w:r>
      <w:r>
        <w:rPr>
          <w:rFonts w:hint="eastAsia" w:ascii="宋体" w:hAnsi="宋体" w:eastAsia="宋体" w:cs="Times New Roman"/>
          <w:color w:val="auto"/>
          <w:sz w:val="20"/>
          <w:highlight w:val="none"/>
          <w:lang w:val="en-US" w:eastAsia="zh-CN"/>
        </w:rPr>
        <w:t>8</w:t>
      </w:r>
      <w:r>
        <w:rPr>
          <w:rFonts w:hint="eastAsia" w:ascii="宋体" w:hAnsi="宋体" w:eastAsia="宋体" w:cs="Times New Roman"/>
          <w:color w:val="auto"/>
          <w:sz w:val="20"/>
          <w:highlight w:val="none"/>
        </w:rPr>
        <w:t>0%</w:t>
      </w:r>
      <w:r>
        <w:rPr>
          <w:rFonts w:hint="eastAsia" w:ascii="宋体" w:hAnsi="宋体" w:eastAsia="宋体" w:cs="Times New Roman"/>
          <w:color w:val="auto"/>
          <w:sz w:val="20"/>
          <w:highlight w:val="none"/>
          <w:lang w:val="en-US" w:eastAsia="zh-CN"/>
        </w:rPr>
        <w:t>支付</w:t>
      </w:r>
      <w:r>
        <w:rPr>
          <w:rFonts w:hint="eastAsia" w:ascii="宋体" w:hAnsi="宋体" w:eastAsia="宋体" w:cs="Times New Roman"/>
          <w:color w:val="auto"/>
          <w:sz w:val="20"/>
          <w:highlight w:val="none"/>
        </w:rPr>
        <w:t>，管道施工前后弯头镇墩或阀井完成了之后，管道施工部分可</w:t>
      </w:r>
      <w:r>
        <w:rPr>
          <w:rFonts w:hint="eastAsia" w:ascii="宋体" w:hAnsi="宋体" w:eastAsia="宋体" w:cs="Times New Roman"/>
          <w:color w:val="auto"/>
          <w:sz w:val="20"/>
          <w:highlight w:val="none"/>
          <w:lang w:val="en-US" w:eastAsia="zh-CN"/>
        </w:rPr>
        <w:t>支付</w:t>
      </w:r>
      <w:r>
        <w:rPr>
          <w:rFonts w:hint="eastAsia" w:ascii="宋体" w:hAnsi="宋体" w:eastAsia="宋体" w:cs="Times New Roman"/>
          <w:color w:val="auto"/>
          <w:sz w:val="20"/>
          <w:highlight w:val="none"/>
        </w:rPr>
        <w:t>至已完成的管道施工工程量</w:t>
      </w:r>
      <w:r>
        <w:rPr>
          <w:rFonts w:hint="eastAsia" w:ascii="宋体" w:hAnsi="宋体" w:eastAsia="宋体" w:cs="Times New Roman"/>
          <w:color w:val="auto"/>
          <w:sz w:val="20"/>
          <w:highlight w:val="none"/>
          <w:lang w:val="en-US" w:eastAsia="zh-CN"/>
        </w:rPr>
        <w:t>85%</w:t>
      </w:r>
      <w:r>
        <w:rPr>
          <w:rFonts w:hint="eastAsia" w:ascii="宋体" w:hAnsi="宋体" w:eastAsia="宋体" w:cs="Times New Roman"/>
          <w:color w:val="auto"/>
          <w:sz w:val="20"/>
          <w:highlight w:val="none"/>
        </w:rPr>
        <w:t>。</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乙方在办理结算时，应按要求提供</w:t>
      </w:r>
      <w:r>
        <w:rPr>
          <w:rFonts w:hint="eastAsia" w:ascii="宋体" w:hAnsi="宋体"/>
          <w:color w:val="auto"/>
          <w:sz w:val="20"/>
          <w:highlight w:val="none"/>
          <w:lang w:val="en-US" w:eastAsia="zh-CN"/>
        </w:rPr>
        <w:t>包括但不限于</w:t>
      </w:r>
      <w:r>
        <w:rPr>
          <w:rFonts w:hint="eastAsia" w:ascii="宋体" w:hAnsi="宋体"/>
          <w:color w:val="auto"/>
          <w:sz w:val="20"/>
          <w:highlight w:val="none"/>
        </w:rPr>
        <w:t>主体工程、隐蔽工程等收方影像资料、全部内业资料，否则甲方有权不予办理结算。</w:t>
      </w:r>
    </w:p>
    <w:p>
      <w:pPr>
        <w:numPr>
          <w:ilvl w:val="0"/>
          <w:numId w:val="0"/>
        </w:numPr>
        <w:tabs>
          <w:tab w:val="left" w:pos="0"/>
        </w:tabs>
        <w:spacing w:line="400" w:lineRule="exact"/>
        <w:ind w:left="567" w:leftChars="0"/>
        <w:rPr>
          <w:rFonts w:hint="eastAsia" w:ascii="宋体" w:hAnsi="宋体"/>
          <w:color w:val="auto"/>
          <w:sz w:val="20"/>
          <w:highlight w:val="none"/>
        </w:rPr>
      </w:pPr>
      <w:r>
        <w:rPr>
          <w:rFonts w:hint="eastAsia" w:ascii="宋体" w:hAnsi="宋体"/>
          <w:color w:val="auto"/>
          <w:sz w:val="20"/>
          <w:highlight w:val="none"/>
          <w:lang w:val="en-US" w:eastAsia="zh-CN"/>
        </w:rPr>
        <w:t>①</w:t>
      </w:r>
      <w:r>
        <w:rPr>
          <w:rFonts w:hint="eastAsia" w:ascii="宋体" w:hAnsi="宋体"/>
          <w:color w:val="auto"/>
          <w:sz w:val="20"/>
          <w:highlight w:val="none"/>
        </w:rPr>
        <w:t>沟槽底换填处理：处理过程中需全程影像记录、回填过程中放量及进货料单都需要全部收集（影像记录包括：回填过程中的视频及回填材料拍摄照片）。</w:t>
      </w:r>
    </w:p>
    <w:p>
      <w:pPr>
        <w:numPr>
          <w:ilvl w:val="0"/>
          <w:numId w:val="0"/>
        </w:numPr>
        <w:tabs>
          <w:tab w:val="left" w:pos="0"/>
        </w:tabs>
        <w:spacing w:line="400" w:lineRule="exact"/>
        <w:ind w:left="567" w:leftChars="0"/>
        <w:rPr>
          <w:rFonts w:hint="eastAsia" w:ascii="宋体" w:hAnsi="宋体"/>
          <w:color w:val="auto"/>
          <w:sz w:val="20"/>
          <w:highlight w:val="none"/>
        </w:rPr>
      </w:pPr>
      <w:r>
        <w:rPr>
          <w:rFonts w:hint="eastAsia" w:ascii="宋体" w:hAnsi="宋体"/>
          <w:color w:val="auto"/>
          <w:sz w:val="20"/>
          <w:highlight w:val="none"/>
          <w:lang w:val="en-US" w:eastAsia="zh-CN"/>
        </w:rPr>
        <w:t>②</w:t>
      </w:r>
      <w:r>
        <w:rPr>
          <w:rFonts w:hint="eastAsia" w:ascii="宋体" w:hAnsi="宋体"/>
          <w:color w:val="auto"/>
          <w:sz w:val="20"/>
          <w:highlight w:val="none"/>
        </w:rPr>
        <w:t>沟槽开挖坡比现场施工照片，沟槽基础照片（砂石基础、混凝土基础等照片），管顶回填材料及厚度照片（施工前、施工中、施工后照片都需要收集）。</w:t>
      </w:r>
    </w:p>
    <w:p>
      <w:pPr>
        <w:numPr>
          <w:ilvl w:val="0"/>
          <w:numId w:val="0"/>
        </w:numPr>
        <w:tabs>
          <w:tab w:val="left" w:pos="0"/>
        </w:tabs>
        <w:spacing w:line="400" w:lineRule="exact"/>
        <w:ind w:left="567" w:leftChars="0"/>
        <w:rPr>
          <w:rFonts w:hint="eastAsia" w:ascii="宋体" w:hAnsi="宋体"/>
          <w:color w:val="auto"/>
          <w:sz w:val="20"/>
          <w:highlight w:val="none"/>
        </w:rPr>
      </w:pPr>
      <w:r>
        <w:rPr>
          <w:rFonts w:hint="eastAsia" w:ascii="宋体" w:hAnsi="宋体"/>
          <w:color w:val="auto"/>
          <w:sz w:val="20"/>
          <w:highlight w:val="none"/>
          <w:lang w:val="en-US" w:eastAsia="zh-CN"/>
        </w:rPr>
        <w:t>③</w:t>
      </w:r>
      <w:r>
        <w:rPr>
          <w:rFonts w:hint="eastAsia" w:ascii="宋体" w:hAnsi="宋体"/>
          <w:color w:val="auto"/>
          <w:sz w:val="20"/>
          <w:highlight w:val="none"/>
        </w:rPr>
        <w:t>墙背回填（收集照片：施工前、施工中、施工后）。</w:t>
      </w:r>
    </w:p>
    <w:p>
      <w:pPr>
        <w:numPr>
          <w:ilvl w:val="0"/>
          <w:numId w:val="0"/>
        </w:numPr>
        <w:tabs>
          <w:tab w:val="left" w:pos="0"/>
        </w:tabs>
        <w:spacing w:line="400" w:lineRule="exact"/>
        <w:ind w:left="567" w:leftChars="0"/>
        <w:rPr>
          <w:rFonts w:hint="eastAsia" w:ascii="宋体" w:hAnsi="宋体"/>
          <w:color w:val="auto"/>
          <w:sz w:val="20"/>
          <w:highlight w:val="none"/>
        </w:rPr>
      </w:pPr>
      <w:r>
        <w:rPr>
          <w:rFonts w:hint="eastAsia" w:ascii="宋体" w:hAnsi="宋体"/>
          <w:color w:val="auto"/>
          <w:sz w:val="20"/>
          <w:highlight w:val="none"/>
          <w:lang w:val="en-US" w:eastAsia="zh-CN"/>
        </w:rPr>
        <w:t>④</w:t>
      </w:r>
      <w:r>
        <w:rPr>
          <w:rFonts w:hint="eastAsia" w:ascii="宋体" w:hAnsi="宋体"/>
          <w:color w:val="auto"/>
          <w:sz w:val="20"/>
          <w:highlight w:val="none"/>
        </w:rPr>
        <w:t>外弃土石施工视频照片（外弃土方、破除场地硬化外弃含装车视频照片等工程，相关费用已包含在乙方单价中）。</w:t>
      </w:r>
    </w:p>
    <w:p>
      <w:pPr>
        <w:numPr>
          <w:ilvl w:val="0"/>
          <w:numId w:val="0"/>
        </w:numPr>
        <w:tabs>
          <w:tab w:val="left" w:pos="0"/>
        </w:tabs>
        <w:spacing w:line="400" w:lineRule="exact"/>
        <w:ind w:left="567" w:leftChars="0"/>
        <w:rPr>
          <w:rFonts w:hint="eastAsia" w:ascii="宋体" w:hAnsi="宋体"/>
          <w:color w:val="auto"/>
          <w:sz w:val="20"/>
          <w:highlight w:val="none"/>
        </w:rPr>
      </w:pPr>
      <w:r>
        <w:rPr>
          <w:rFonts w:hint="eastAsia" w:ascii="宋体" w:hAnsi="宋体"/>
          <w:color w:val="auto"/>
          <w:sz w:val="20"/>
          <w:highlight w:val="none"/>
          <w:lang w:val="en-US" w:eastAsia="zh-CN"/>
        </w:rPr>
        <w:t>⑤</w:t>
      </w:r>
      <w:r>
        <w:rPr>
          <w:rFonts w:hint="eastAsia" w:ascii="宋体" w:hAnsi="宋体"/>
          <w:color w:val="auto"/>
          <w:sz w:val="20"/>
          <w:highlight w:val="none"/>
        </w:rPr>
        <w:t>测量数据：原地面复测（包括路基、弃土场、借土场）、挖方、换填、弃土场前后、沟槽底测量数据。计量需附上相应有效的照片、测量断面图、计算表及汇总表。</w:t>
      </w:r>
    </w:p>
    <w:p>
      <w:pPr>
        <w:numPr>
          <w:ilvl w:val="0"/>
          <w:numId w:val="0"/>
        </w:numPr>
        <w:tabs>
          <w:tab w:val="left" w:pos="0"/>
        </w:tabs>
        <w:spacing w:line="400" w:lineRule="exact"/>
        <w:ind w:left="567" w:leftChars="0"/>
        <w:rPr>
          <w:rFonts w:hint="eastAsia" w:eastAsia="黑体"/>
          <w:color w:val="auto"/>
          <w:highlight w:val="none"/>
          <w:lang w:val="en-US" w:eastAsia="zh-CN"/>
        </w:rPr>
      </w:pPr>
      <w:r>
        <w:rPr>
          <w:rFonts w:hint="eastAsia" w:ascii="宋体" w:hAnsi="宋体"/>
          <w:color w:val="auto"/>
          <w:sz w:val="20"/>
          <w:highlight w:val="none"/>
          <w:lang w:val="en-US" w:eastAsia="zh-CN"/>
        </w:rPr>
        <w:t>⑥打拔拉森钢板桩</w:t>
      </w:r>
      <w:r>
        <w:rPr>
          <w:rFonts w:hint="eastAsia" w:ascii="宋体" w:hAnsi="宋体"/>
          <w:color w:val="auto"/>
          <w:sz w:val="20"/>
          <w:highlight w:val="none"/>
        </w:rPr>
        <w:t>（收集照片：施工前、施工中、施工后）</w:t>
      </w:r>
      <w:r>
        <w:rPr>
          <w:rFonts w:hint="eastAsia" w:ascii="宋体" w:hAnsi="宋体"/>
          <w:color w:val="auto"/>
          <w:sz w:val="20"/>
          <w:highlight w:val="none"/>
          <w:lang w:eastAsia="zh-CN"/>
        </w:rPr>
        <w:t>。</w:t>
      </w:r>
    </w:p>
    <w:p>
      <w:pPr>
        <w:numPr>
          <w:ilvl w:val="0"/>
          <w:numId w:val="0"/>
        </w:numPr>
        <w:tabs>
          <w:tab w:val="left" w:pos="0"/>
        </w:tabs>
        <w:spacing w:line="400" w:lineRule="exact"/>
        <w:ind w:left="567" w:leftChars="0"/>
        <w:rPr>
          <w:rFonts w:hint="default"/>
          <w:color w:val="auto"/>
          <w:highlight w:val="none"/>
          <w:lang w:val="en-US" w:eastAsia="zh-CN"/>
        </w:rPr>
      </w:pPr>
      <w:r>
        <w:rPr>
          <w:rFonts w:hint="eastAsia" w:ascii="宋体" w:hAnsi="宋体"/>
          <w:color w:val="auto"/>
          <w:sz w:val="20"/>
          <w:highlight w:val="none"/>
          <w:lang w:val="en-US" w:eastAsia="zh-CN"/>
        </w:rPr>
        <w:t>⑦管道试水加压收集照片。</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乙方须至少安排1名劳资专管员，负责本工程的劳务用工管理，建立乙方所有农民工人员花名册、考勤册和工资册等实名管理台账，记录民工姓名、身份证号码、教育培训、劳务考勤和工资结算等信息；收集农民工身份证复印件、签字字样、银行工资卡、乙方与农民工的合同等信息备案至甲方处。配合甲方完成相关农民工工资管理台账和其工资支付工作。</w:t>
      </w:r>
    </w:p>
    <w:p>
      <w:pPr>
        <w:numPr>
          <w:ilvl w:val="0"/>
          <w:numId w:val="10"/>
        </w:numPr>
        <w:tabs>
          <w:tab w:val="left" w:pos="0"/>
        </w:tabs>
        <w:spacing w:line="400" w:lineRule="exact"/>
        <w:rPr>
          <w:rFonts w:hint="eastAsia" w:ascii="宋体" w:hAnsi="宋体"/>
          <w:color w:val="auto"/>
          <w:sz w:val="20"/>
          <w:highlight w:val="none"/>
        </w:rPr>
      </w:pPr>
      <w:r>
        <w:rPr>
          <w:rFonts w:hint="eastAsia" w:ascii="宋体" w:hAnsi="宋体"/>
          <w:color w:val="auto"/>
          <w:sz w:val="20"/>
          <w:highlight w:val="none"/>
        </w:rPr>
        <w:t>施工现场建筑垃圾（包括渣土、工程泥浆）等应按相关管理规定或当地政府部门要求进行处置，费用由乙方承担。因乙方处置不当给甲方造成不良影响或损失的，乙方需赔偿由此给甲方造成的损失。</w:t>
      </w:r>
    </w:p>
    <w:p>
      <w:pPr>
        <w:numPr>
          <w:ilvl w:val="0"/>
          <w:numId w:val="10"/>
        </w:numPr>
        <w:tabs>
          <w:tab w:val="left" w:pos="0"/>
        </w:tabs>
        <w:spacing w:line="400" w:lineRule="exact"/>
        <w:rPr>
          <w:rFonts w:hint="eastAsia" w:ascii="仿宋" w:hAnsi="仿宋" w:eastAsia="仿宋"/>
          <w:snapToGrid w:val="0"/>
          <w:color w:val="auto"/>
          <w:sz w:val="24"/>
          <w:highlight w:val="none"/>
        </w:rPr>
      </w:pPr>
      <w:r>
        <w:rPr>
          <w:rFonts w:hint="eastAsia" w:ascii="宋体" w:hAnsi="宋体"/>
          <w:color w:val="auto"/>
          <w:sz w:val="20"/>
          <w:highlight w:val="none"/>
        </w:rPr>
        <w:t>红线内征地由甲方负责，乙方派人配合甲方进行征地，红线外征地（乙方驻地、取弃土场、横向便道等）征用租金、青苗补偿费、复耕费以及相关协调费用等均由乙方承担，采购人协助、协调相关手续的办理。</w:t>
      </w:r>
    </w:p>
    <w:p>
      <w:pPr>
        <w:numPr>
          <w:ilvl w:val="0"/>
          <w:numId w:val="6"/>
        </w:numPr>
        <w:spacing w:line="400" w:lineRule="exact"/>
        <w:ind w:firstLine="402" w:firstLineChars="200"/>
        <w:rPr>
          <w:rFonts w:hint="eastAsia" w:ascii="宋体" w:hAnsi="宋体"/>
          <w:b/>
          <w:color w:val="auto"/>
          <w:sz w:val="20"/>
          <w:highlight w:val="none"/>
        </w:rPr>
      </w:pPr>
      <w:r>
        <w:rPr>
          <w:rFonts w:hint="eastAsia" w:ascii="宋体" w:hAnsi="宋体"/>
          <w:b/>
          <w:color w:val="auto"/>
          <w:sz w:val="20"/>
          <w:highlight w:val="none"/>
        </w:rPr>
        <w:t>管网工程</w:t>
      </w:r>
    </w:p>
    <w:p>
      <w:pPr>
        <w:rPr>
          <w:color w:val="auto"/>
          <w:highlight w:val="none"/>
        </w:rPr>
      </w:pPr>
    </w:p>
    <w:p>
      <w:pPr>
        <w:numPr>
          <w:ilvl w:val="0"/>
          <w:numId w:val="11"/>
        </w:numPr>
        <w:tabs>
          <w:tab w:val="left" w:pos="0"/>
        </w:tabs>
        <w:spacing w:line="400" w:lineRule="exact"/>
        <w:rPr>
          <w:rFonts w:ascii="宋体" w:hAnsi="宋体"/>
          <w:color w:val="auto"/>
          <w:sz w:val="20"/>
          <w:highlight w:val="none"/>
        </w:rPr>
      </w:pPr>
      <w:r>
        <w:rPr>
          <w:rFonts w:hint="eastAsia" w:ascii="宋体" w:hAnsi="宋体"/>
          <w:color w:val="auto"/>
          <w:sz w:val="20"/>
          <w:highlight w:val="none"/>
        </w:rPr>
        <w:t>乙方工作内容包括但不限于：沟槽开挖、</w:t>
      </w:r>
      <w:r>
        <w:rPr>
          <w:rFonts w:hint="eastAsia" w:ascii="宋体" w:hAnsi="宋体"/>
          <w:color w:val="auto"/>
          <w:sz w:val="20"/>
          <w:highlight w:val="none"/>
          <w:lang w:val="en-US" w:eastAsia="zh-CN"/>
        </w:rPr>
        <w:t>需要回填的原状土石保管、</w:t>
      </w:r>
      <w:r>
        <w:rPr>
          <w:rFonts w:hint="eastAsia" w:ascii="宋体" w:hAnsi="宋体"/>
          <w:color w:val="auto"/>
          <w:sz w:val="20"/>
          <w:highlight w:val="none"/>
        </w:rPr>
        <w:t>基础处理、排水处理、管材安装、回填、闭水试验等工序涉及的全部工作内容。</w:t>
      </w:r>
    </w:p>
    <w:p>
      <w:pPr>
        <w:numPr>
          <w:ilvl w:val="0"/>
          <w:numId w:val="11"/>
        </w:numPr>
        <w:tabs>
          <w:tab w:val="left" w:pos="0"/>
        </w:tabs>
        <w:spacing w:line="400" w:lineRule="exact"/>
        <w:rPr>
          <w:rFonts w:ascii="宋体" w:hAnsi="宋体"/>
          <w:color w:val="auto"/>
          <w:sz w:val="20"/>
          <w:highlight w:val="none"/>
        </w:rPr>
      </w:pPr>
      <w:r>
        <w:rPr>
          <w:rFonts w:ascii="宋体" w:hAnsi="宋体"/>
          <w:color w:val="auto"/>
          <w:sz w:val="20"/>
          <w:highlight w:val="none"/>
        </w:rPr>
        <w:t>乙方施工所需的劳务、机械设备、</w:t>
      </w:r>
      <w:r>
        <w:rPr>
          <w:rFonts w:hint="eastAsia" w:ascii="宋体" w:hAnsi="宋体"/>
          <w:color w:val="auto"/>
          <w:sz w:val="20"/>
          <w:highlight w:val="none"/>
        </w:rPr>
        <w:t>排水设备</w:t>
      </w:r>
      <w:r>
        <w:rPr>
          <w:rFonts w:ascii="宋体" w:hAnsi="宋体"/>
          <w:color w:val="auto"/>
          <w:sz w:val="20"/>
          <w:highlight w:val="none"/>
        </w:rPr>
        <w:t>、发电机</w:t>
      </w:r>
      <w:r>
        <w:rPr>
          <w:rFonts w:hint="eastAsia" w:ascii="宋体" w:hAnsi="宋体"/>
          <w:color w:val="auto"/>
          <w:sz w:val="20"/>
          <w:highlight w:val="none"/>
        </w:rPr>
        <w:t>等</w:t>
      </w:r>
      <w:r>
        <w:rPr>
          <w:rFonts w:ascii="宋体" w:hAnsi="宋体"/>
          <w:color w:val="auto"/>
          <w:sz w:val="20"/>
          <w:highlight w:val="none"/>
        </w:rPr>
        <w:t>以及完成上述工作内容所需一切辅助设备、燃油等材料、五金易耗品等均由乙方负责并承担相关费用。</w:t>
      </w:r>
    </w:p>
    <w:p>
      <w:pPr>
        <w:numPr>
          <w:ilvl w:val="0"/>
          <w:numId w:val="11"/>
        </w:numPr>
        <w:tabs>
          <w:tab w:val="left" w:pos="0"/>
        </w:tabs>
        <w:spacing w:line="400" w:lineRule="exact"/>
        <w:rPr>
          <w:rFonts w:ascii="宋体" w:hAnsi="宋体"/>
          <w:color w:val="auto"/>
          <w:sz w:val="20"/>
          <w:highlight w:val="none"/>
        </w:rPr>
      </w:pPr>
      <w:r>
        <w:rPr>
          <w:rFonts w:hint="eastAsia" w:ascii="宋体" w:hAnsi="宋体"/>
          <w:color w:val="auto"/>
          <w:sz w:val="20"/>
          <w:highlight w:val="none"/>
        </w:rPr>
        <w:t>沟槽</w:t>
      </w:r>
      <w:r>
        <w:rPr>
          <w:rFonts w:ascii="宋体" w:hAnsi="宋体"/>
          <w:color w:val="auto"/>
          <w:sz w:val="20"/>
          <w:highlight w:val="none"/>
        </w:rPr>
        <w:t>内排水、抽水</w:t>
      </w:r>
      <w:r>
        <w:rPr>
          <w:rFonts w:hint="eastAsia" w:ascii="宋体" w:hAnsi="宋体"/>
          <w:color w:val="auto"/>
          <w:sz w:val="20"/>
          <w:highlight w:val="none"/>
        </w:rPr>
        <w:t>、</w:t>
      </w:r>
      <w:r>
        <w:rPr>
          <w:rFonts w:ascii="宋体" w:hAnsi="宋体"/>
          <w:color w:val="auto"/>
          <w:sz w:val="20"/>
          <w:highlight w:val="none"/>
        </w:rPr>
        <w:t>止水工作由乙方负责</w:t>
      </w:r>
      <w:r>
        <w:rPr>
          <w:rFonts w:hint="eastAsia" w:ascii="宋体" w:hAnsi="宋体"/>
          <w:color w:val="auto"/>
          <w:sz w:val="20"/>
          <w:highlight w:val="none"/>
        </w:rPr>
        <w:t>。</w:t>
      </w:r>
    </w:p>
    <w:p>
      <w:pPr>
        <w:numPr>
          <w:ilvl w:val="0"/>
          <w:numId w:val="11"/>
        </w:numPr>
        <w:tabs>
          <w:tab w:val="left" w:pos="0"/>
        </w:tabs>
        <w:spacing w:line="400" w:lineRule="exact"/>
        <w:rPr>
          <w:rFonts w:ascii="宋体" w:hAnsi="宋体"/>
          <w:color w:val="auto"/>
          <w:sz w:val="20"/>
          <w:highlight w:val="none"/>
        </w:rPr>
      </w:pPr>
      <w:r>
        <w:rPr>
          <w:rFonts w:hint="eastAsia" w:ascii="宋体" w:hAnsi="宋体"/>
          <w:color w:val="auto"/>
          <w:sz w:val="20"/>
          <w:highlight w:val="none"/>
        </w:rPr>
        <w:t xml:space="preserve"> </w:t>
      </w:r>
      <w:r>
        <w:rPr>
          <w:rFonts w:ascii="宋体" w:hAnsi="宋体"/>
          <w:color w:val="auto"/>
          <w:sz w:val="20"/>
          <w:highlight w:val="none"/>
        </w:rPr>
        <w:t>施工原始记录、管道闭水试验</w:t>
      </w:r>
      <w:r>
        <w:rPr>
          <w:rFonts w:hint="eastAsia" w:ascii="宋体" w:hAnsi="宋体"/>
          <w:color w:val="auto"/>
          <w:sz w:val="20"/>
          <w:highlight w:val="none"/>
        </w:rPr>
        <w:t>由乙方负责</w:t>
      </w:r>
      <w:r>
        <w:rPr>
          <w:rFonts w:ascii="宋体" w:hAnsi="宋体"/>
          <w:color w:val="auto"/>
          <w:sz w:val="20"/>
          <w:highlight w:val="none"/>
        </w:rPr>
        <w:t>。</w:t>
      </w:r>
    </w:p>
    <w:p>
      <w:pPr>
        <w:numPr>
          <w:ilvl w:val="0"/>
          <w:numId w:val="11"/>
        </w:numPr>
        <w:tabs>
          <w:tab w:val="left" w:pos="0"/>
        </w:tabs>
        <w:spacing w:line="400" w:lineRule="exact"/>
        <w:rPr>
          <w:rFonts w:ascii="宋体" w:hAnsi="宋体"/>
          <w:color w:val="auto"/>
          <w:sz w:val="20"/>
          <w:highlight w:val="none"/>
        </w:rPr>
      </w:pPr>
      <w:r>
        <w:rPr>
          <w:rFonts w:hint="eastAsia" w:ascii="宋体" w:hAnsi="宋体"/>
          <w:color w:val="auto"/>
          <w:sz w:val="20"/>
          <w:highlight w:val="none"/>
        </w:rPr>
        <w:t xml:space="preserve"> 回填</w:t>
      </w:r>
      <w:r>
        <w:rPr>
          <w:rFonts w:hint="eastAsia" w:ascii="宋体" w:hAnsi="宋体"/>
          <w:color w:val="auto"/>
          <w:sz w:val="20"/>
          <w:highlight w:val="none"/>
        </w:rPr>
        <w:fldChar w:fldCharType="begin"/>
      </w:r>
      <w:r>
        <w:rPr>
          <w:rFonts w:hint="eastAsia" w:ascii="宋体" w:hAnsi="宋体"/>
          <w:color w:val="auto"/>
          <w:sz w:val="20"/>
          <w:highlight w:val="none"/>
        </w:rPr>
        <w:instrText xml:space="preserve"> HYPERLINK "https://wenwen.sogou.com/s/?w=%E5%8E%8B%E5%AE%9E%E5%BA%A6&amp;ch=ww.xqy.chain" \t "https://wenwen.sogou.com/z/_blank" </w:instrText>
      </w:r>
      <w:r>
        <w:rPr>
          <w:rFonts w:hint="eastAsia" w:ascii="宋体" w:hAnsi="宋体"/>
          <w:color w:val="auto"/>
          <w:sz w:val="20"/>
          <w:highlight w:val="none"/>
        </w:rPr>
        <w:fldChar w:fldCharType="separate"/>
      </w:r>
      <w:r>
        <w:rPr>
          <w:rFonts w:hint="eastAsia" w:ascii="宋体" w:hAnsi="宋体"/>
          <w:color w:val="auto"/>
          <w:sz w:val="20"/>
          <w:highlight w:val="none"/>
        </w:rPr>
        <w:t>压实度</w:t>
      </w:r>
      <w:r>
        <w:rPr>
          <w:rFonts w:hint="eastAsia" w:ascii="宋体" w:hAnsi="宋体"/>
          <w:color w:val="auto"/>
          <w:sz w:val="20"/>
          <w:highlight w:val="none"/>
        </w:rPr>
        <w:fldChar w:fldCharType="end"/>
      </w:r>
      <w:r>
        <w:rPr>
          <w:rFonts w:hint="eastAsia" w:ascii="宋体" w:hAnsi="宋体"/>
          <w:color w:val="auto"/>
          <w:sz w:val="20"/>
          <w:highlight w:val="none"/>
        </w:rPr>
        <w:t>要达到设计要求，槽底至管顶以上50cm范围内，回填料不得含有机物、冻土以及大于50mm的砖、石等硬块；在抹带接口处应采用细粒</w:t>
      </w:r>
      <w:r>
        <w:rPr>
          <w:rFonts w:hint="eastAsia" w:ascii="宋体" w:hAnsi="宋体"/>
          <w:color w:val="auto"/>
          <w:sz w:val="20"/>
          <w:highlight w:val="none"/>
        </w:rPr>
        <w:fldChar w:fldCharType="begin"/>
      </w:r>
      <w:r>
        <w:rPr>
          <w:rFonts w:hint="eastAsia" w:ascii="宋体" w:hAnsi="宋体"/>
          <w:color w:val="auto"/>
          <w:sz w:val="20"/>
          <w:highlight w:val="none"/>
        </w:rPr>
        <w:instrText xml:space="preserve"> HYPERLINK "https://wenwen.sogou.com/s/?w=%E5%9B%9E%E5%A1%AB%E6%9D%90%E6%96%99&amp;ch=ww.xqy.chain" \t "https://wenwen.sogou.com/z/_blank" </w:instrText>
      </w:r>
      <w:r>
        <w:rPr>
          <w:rFonts w:hint="eastAsia" w:ascii="宋体" w:hAnsi="宋体"/>
          <w:color w:val="auto"/>
          <w:sz w:val="20"/>
          <w:highlight w:val="none"/>
        </w:rPr>
        <w:fldChar w:fldCharType="separate"/>
      </w:r>
      <w:r>
        <w:rPr>
          <w:rFonts w:hint="eastAsia" w:ascii="宋体" w:hAnsi="宋体"/>
          <w:color w:val="auto"/>
          <w:sz w:val="20"/>
          <w:highlight w:val="none"/>
        </w:rPr>
        <w:t>回填材料</w:t>
      </w:r>
      <w:r>
        <w:rPr>
          <w:rFonts w:hint="eastAsia" w:ascii="宋体" w:hAnsi="宋体"/>
          <w:color w:val="auto"/>
          <w:sz w:val="20"/>
          <w:highlight w:val="none"/>
        </w:rPr>
        <w:fldChar w:fldCharType="end"/>
      </w:r>
      <w:r>
        <w:rPr>
          <w:rFonts w:hint="eastAsia" w:ascii="宋体" w:hAnsi="宋体"/>
          <w:color w:val="auto"/>
          <w:sz w:val="20"/>
          <w:highlight w:val="none"/>
        </w:rPr>
        <w:t>回填。回填材料分层填筑压实，表面平整，无明显碾压轮迹，不得有松散、离析现象。回填材料应与槽边、构筑物、管道紧贴且平整密实。分段施工时，层次分明，应每层留设台阶，清除未压实部分</w:t>
      </w:r>
    </w:p>
    <w:p>
      <w:pPr>
        <w:numPr>
          <w:ilvl w:val="0"/>
          <w:numId w:val="11"/>
        </w:numPr>
        <w:tabs>
          <w:tab w:val="left" w:pos="0"/>
        </w:tabs>
        <w:spacing w:line="400" w:lineRule="exact"/>
        <w:rPr>
          <w:rFonts w:ascii="宋体" w:hAnsi="宋体"/>
          <w:color w:val="auto"/>
          <w:sz w:val="20"/>
          <w:highlight w:val="none"/>
        </w:rPr>
      </w:pPr>
      <w:r>
        <w:rPr>
          <w:rFonts w:hint="eastAsia" w:ascii="宋体" w:hAnsi="宋体"/>
          <w:color w:val="auto"/>
          <w:sz w:val="20"/>
          <w:highlight w:val="none"/>
        </w:rPr>
        <w:t xml:space="preserve"> 砂垫层原则上采用现场开挖出来的合格材料施工，如需外购，必须经过甲方的同意并办理“一事一议”手续后，方可外购砂进行垫层施工，数量由双方现场收方确认为准。</w:t>
      </w:r>
    </w:p>
    <w:p>
      <w:pPr>
        <w:numPr>
          <w:ilvl w:val="0"/>
          <w:numId w:val="6"/>
        </w:numPr>
        <w:spacing w:line="400" w:lineRule="exact"/>
        <w:ind w:firstLine="402" w:firstLineChars="200"/>
        <w:rPr>
          <w:rFonts w:ascii="宋体" w:hAnsi="宋体"/>
          <w:b/>
          <w:color w:val="auto"/>
          <w:sz w:val="20"/>
          <w:highlight w:val="none"/>
        </w:rPr>
      </w:pPr>
      <w:r>
        <w:rPr>
          <w:rFonts w:hint="eastAsia" w:ascii="宋体" w:hAnsi="宋体"/>
          <w:b/>
          <w:color w:val="auto"/>
          <w:sz w:val="20"/>
          <w:highlight w:val="none"/>
        </w:rPr>
        <w:t>顶管工程</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乙方工作内容包括但不限于：工作井/接受井的开挖及运输，钢筋加工及安装，砼浇筑及养护，顶管工作平台的搭建，管材的顶进、接管等。</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乙方施工所需的劳务、机械设备、用电设备、钻孔机、泥浆泵、发电机、夜间施工的所有灯具等以及完成上述工作内容所需一切辅助设备、燃油等材料、五金易耗品等均由乙方负责并承担相关费用。</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工作井、接收井及顶管内排水、抽水；洞口止水工作由乙方负责。工作井、接收井回填甲方负责。</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 xml:space="preserve"> 顶进过程中清理场地、泥浆池开挖、造优质泥浆、清孔出渣、壁后注浆、灌缝抹带、顶管内支护、泥浆以及按甲方要求的有关成孔的所有工作内容以及完成上述工作内容所需的所有人工、材料、机械由乙方负责并承担相关费用。为保证安全或防止塌孔，乙方必须按甲方以及设计的要求进行施工、防护，所产生一切费用由乙方负责。</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 xml:space="preserve"> 顶管顶进施工原始记录、管道闭水试验由乙方负责。</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 xml:space="preserve"> 工作井、接收井支撑设备、顶进后座及坑内平台等由乙方负责；</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夜间施工所需的照明灯具由乙方自行负责</w:t>
      </w:r>
    </w:p>
    <w:p>
      <w:pPr>
        <w:numPr>
          <w:ilvl w:val="0"/>
          <w:numId w:val="12"/>
        </w:numPr>
        <w:tabs>
          <w:tab w:val="left" w:pos="0"/>
        </w:tabs>
        <w:spacing w:line="400" w:lineRule="exact"/>
        <w:rPr>
          <w:rFonts w:hint="eastAsia" w:ascii="宋体" w:hAnsi="宋体"/>
          <w:color w:val="auto"/>
          <w:sz w:val="20"/>
          <w:szCs w:val="22"/>
          <w:highlight w:val="none"/>
        </w:rPr>
      </w:pPr>
      <w:r>
        <w:rPr>
          <w:rFonts w:hint="eastAsia" w:ascii="宋体" w:hAnsi="宋体"/>
          <w:color w:val="auto"/>
          <w:sz w:val="20"/>
          <w:szCs w:val="22"/>
          <w:highlight w:val="none"/>
        </w:rPr>
        <w:t xml:space="preserve"> 乙方根据甲方测量人员提供的标高及坐标进行砌筑及顶进 ，如因乙方原因造成的井错位、标高未达到设计标高时，乙方无条件的对井进行调整并承担相应的费用直至达到验收标准。</w:t>
      </w:r>
    </w:p>
    <w:p>
      <w:pPr>
        <w:tabs>
          <w:tab w:val="left" w:pos="0"/>
        </w:tabs>
        <w:spacing w:line="400" w:lineRule="exact"/>
        <w:ind w:left="454"/>
        <w:rPr>
          <w:rFonts w:ascii="宋体" w:hAnsi="宋体"/>
          <w:color w:val="auto"/>
          <w:sz w:val="20"/>
          <w:highlight w:val="none"/>
        </w:rPr>
      </w:pPr>
    </w:p>
    <w:p>
      <w:pPr>
        <w:spacing w:line="440" w:lineRule="exact"/>
        <w:ind w:firstLine="4080" w:firstLineChars="1700"/>
        <w:rPr>
          <w:rFonts w:ascii="宋体" w:hAnsi="宋体"/>
          <w:color w:val="auto"/>
          <w:sz w:val="24"/>
          <w:szCs w:val="24"/>
          <w:highlight w:val="none"/>
        </w:rPr>
      </w:pPr>
    </w:p>
    <w:p>
      <w:pPr>
        <w:spacing w:line="440" w:lineRule="exact"/>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报价人：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ind w:firstLine="5040" w:firstLineChars="2100"/>
        <w:rPr>
          <w:rFonts w:hint="eastAsia"/>
          <w:color w:val="auto"/>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360" w:lineRule="auto"/>
        <w:jc w:val="center"/>
        <w:rPr>
          <w:rFonts w:hint="eastAsia" w:ascii="宋体" w:hAnsi="宋体"/>
          <w:b/>
          <w:color w:val="auto"/>
          <w:sz w:val="24"/>
          <w:highlight w:val="none"/>
        </w:rPr>
      </w:pPr>
    </w:p>
    <w:p>
      <w:pPr>
        <w:spacing w:line="360" w:lineRule="auto"/>
        <w:jc w:val="center"/>
        <w:rPr>
          <w:rFonts w:hint="eastAsia" w:ascii="宋体" w:hAnsi="宋体"/>
          <w:b/>
          <w:color w:val="auto"/>
          <w:sz w:val="24"/>
          <w:highlight w:val="none"/>
        </w:rPr>
      </w:pPr>
    </w:p>
    <w:p>
      <w:pPr>
        <w:spacing w:line="360" w:lineRule="auto"/>
        <w:jc w:val="center"/>
        <w:rPr>
          <w:rFonts w:hint="eastAsia" w:ascii="宋体" w:hAnsi="宋体"/>
          <w:b/>
          <w:color w:val="auto"/>
          <w:sz w:val="24"/>
          <w:highlight w:val="none"/>
        </w:rPr>
      </w:pPr>
    </w:p>
    <w:p>
      <w:pPr>
        <w:spacing w:line="360" w:lineRule="auto"/>
        <w:jc w:val="center"/>
        <w:rPr>
          <w:rFonts w:ascii="宋体" w:hAnsi="宋体"/>
          <w:b/>
          <w:color w:val="auto"/>
          <w:sz w:val="24"/>
          <w:highlight w:val="none"/>
        </w:rPr>
      </w:pPr>
    </w:p>
    <w:p>
      <w:pPr>
        <w:pStyle w:val="2"/>
        <w:rPr>
          <w:rFonts w:hint="eastAsia"/>
          <w:color w:val="auto"/>
          <w:highlight w:val="none"/>
        </w:rPr>
      </w:pPr>
    </w:p>
    <w:p>
      <w:pPr>
        <w:spacing w:line="360" w:lineRule="auto"/>
        <w:jc w:val="center"/>
        <w:rPr>
          <w:rFonts w:hint="eastAsia" w:ascii="宋体" w:hAnsi="宋体"/>
          <w:b/>
          <w:color w:val="auto"/>
          <w:sz w:val="24"/>
          <w:highlight w:val="none"/>
        </w:rPr>
        <w:sectPr>
          <w:pgSz w:w="11906" w:h="16838"/>
          <w:pgMar w:top="1134" w:right="1134" w:bottom="1134" w:left="1418" w:header="851" w:footer="737" w:gutter="0"/>
          <w:cols w:space="720" w:num="1"/>
          <w:docGrid w:linePitch="312" w:charSpace="0"/>
        </w:sectPr>
      </w:pPr>
    </w:p>
    <w:p>
      <w:pPr>
        <w:spacing w:line="360" w:lineRule="auto"/>
        <w:jc w:val="center"/>
        <w:rPr>
          <w:rFonts w:hint="eastAsia"/>
          <w:bCs/>
          <w:color w:val="auto"/>
          <w:sz w:val="24"/>
          <w:highlight w:val="none"/>
        </w:rPr>
      </w:pPr>
      <w:r>
        <w:rPr>
          <w:rFonts w:hint="eastAsia" w:ascii="宋体" w:hAnsi="宋体"/>
          <w:b/>
          <w:color w:val="auto"/>
          <w:sz w:val="24"/>
          <w:highlight w:val="none"/>
        </w:rPr>
        <w:t>第八章、报价工程细目清单</w:t>
      </w:r>
    </w:p>
    <w:p>
      <w:pPr>
        <w:spacing w:line="360" w:lineRule="auto"/>
        <w:jc w:val="center"/>
        <w:rPr>
          <w:rFonts w:hint="eastAsia" w:ascii="宋体" w:hAnsi="宋体"/>
          <w:b/>
          <w:color w:val="auto"/>
          <w:sz w:val="24"/>
          <w:highlight w:val="none"/>
        </w:rPr>
      </w:pPr>
      <w:r>
        <w:rPr>
          <w:rFonts w:hint="eastAsia" w:ascii="宋体" w:hAnsi="宋体"/>
          <w:b/>
          <w:color w:val="auto"/>
          <w:sz w:val="24"/>
          <w:highlight w:val="none"/>
        </w:rPr>
        <w:t>（需签字盖章）</w:t>
      </w: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jc w:val="center"/>
        <w:rPr>
          <w:rFonts w:hint="eastAsia"/>
          <w:b w:val="0"/>
          <w:bCs w:val="0"/>
          <w:color w:val="auto"/>
          <w:highlight w:val="none"/>
        </w:rPr>
      </w:pPr>
      <w:r>
        <w:rPr>
          <w:rFonts w:hint="eastAsia"/>
          <w:b w:val="0"/>
          <w:bCs w:val="0"/>
          <w:color w:val="auto"/>
          <w:highlight w:val="none"/>
        </w:rPr>
        <w:t>第九章技术方案</w:t>
      </w:r>
    </w:p>
    <w:p>
      <w:pPr>
        <w:spacing w:line="360" w:lineRule="auto"/>
        <w:rPr>
          <w:rFonts w:hint="eastAsia" w:ascii="宋体" w:hAnsi="宋体"/>
          <w:b/>
          <w:color w:val="auto"/>
          <w:sz w:val="24"/>
          <w:highlight w:val="none"/>
        </w:rPr>
      </w:pPr>
      <w:r>
        <w:rPr>
          <w:rFonts w:hint="eastAsia" w:ascii="宋体" w:hAnsi="宋体"/>
          <w:b/>
          <w:color w:val="auto"/>
          <w:sz w:val="24"/>
          <w:highlight w:val="none"/>
        </w:rPr>
        <w:t>格式自拟</w:t>
      </w:r>
    </w:p>
    <w:p>
      <w:pPr>
        <w:rPr>
          <w:rFonts w:hint="eastAsia"/>
          <w:color w:val="auto"/>
          <w:highlight w:val="none"/>
        </w:rPr>
      </w:pPr>
    </w:p>
    <w:p/>
    <w:sectPr>
      <w:pgSz w:w="11906" w:h="16838"/>
      <w:pgMar w:top="1134" w:right="1134" w:bottom="1134" w:left="1418" w:header="851" w:footer="737"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lin" w:date="2023-01-12T18:55:00Z" w:initials="l">
    <w:p w14:paraId="48230029">
      <w:pPr>
        <w:spacing w:line="400" w:lineRule="exact"/>
        <w:ind w:firstLine="420"/>
        <w:jc w:val="center"/>
        <w:rPr>
          <w:rFonts w:hint="default" w:ascii="宋体" w:hAnsi="宋体" w:eastAsia="宋体"/>
          <w:b/>
          <w:bCs/>
          <w:sz w:val="20"/>
          <w:highlight w:val="none"/>
          <w:lang w:val="en-US" w:eastAsia="zh-CN"/>
        </w:rPr>
      </w:pPr>
      <w:r>
        <w:rPr>
          <w:rFonts w:hint="eastAsia" w:ascii="宋体" w:hAnsi="宋体"/>
          <w:b/>
          <w:bCs/>
          <w:sz w:val="20"/>
          <w:highlight w:val="none"/>
          <w:lang w:val="en-US" w:eastAsia="zh-CN"/>
        </w:rPr>
        <w:t>附件三</w:t>
      </w:r>
      <w:r>
        <w:rPr>
          <w:rFonts w:hint="eastAsia" w:ascii="宋体" w:hAnsi="宋体"/>
          <w:b/>
          <w:bCs/>
          <w:sz w:val="20"/>
          <w:highlight w:val="none"/>
        </w:rPr>
        <w:t>甲方</w:t>
      </w:r>
      <w:r>
        <w:rPr>
          <w:rFonts w:hint="eastAsia" w:ascii="宋体" w:hAnsi="宋体"/>
          <w:b/>
          <w:bCs/>
          <w:sz w:val="20"/>
          <w:highlight w:val="none"/>
          <w:lang w:val="en-US" w:eastAsia="zh-CN"/>
        </w:rPr>
        <w:t>定</w:t>
      </w:r>
      <w:r>
        <w:rPr>
          <w:rFonts w:hint="eastAsia" w:ascii="宋体" w:hAnsi="宋体"/>
          <w:b/>
          <w:bCs/>
          <w:sz w:val="20"/>
          <w:highlight w:val="none"/>
        </w:rPr>
        <w:t>量提供的材料物资一览表</w:t>
      </w:r>
      <w:r>
        <w:rPr>
          <w:rFonts w:hint="eastAsia" w:ascii="宋体" w:hAnsi="宋体"/>
          <w:b/>
          <w:bCs/>
          <w:sz w:val="20"/>
          <w:highlight w:val="none"/>
          <w:lang w:val="en-US" w:eastAsia="zh-CN"/>
        </w:rPr>
        <w:t>未明确允许损耗率，如何考虑允许损耗量。</w:t>
      </w:r>
    </w:p>
    <w:p w14:paraId="678418BE">
      <w:pPr>
        <w:pStyle w:val="4"/>
        <w:ind w:left="0" w:leftChars="0" w:firstLine="0" w:firstLineChars="0"/>
        <w:rPr>
          <w:rFonts w:hint="eastAsia"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D8B8"/>
    <w:multiLevelType w:val="singleLevel"/>
    <w:tmpl w:val="856AD8B8"/>
    <w:lvl w:ilvl="0" w:tentative="0">
      <w:start w:val="1"/>
      <w:numFmt w:val="decimal"/>
      <w:lvlText w:val="(%1)"/>
      <w:lvlJc w:val="left"/>
      <w:pPr>
        <w:tabs>
          <w:tab w:val="left" w:pos="454"/>
        </w:tabs>
        <w:ind w:left="454" w:firstLine="0"/>
      </w:pPr>
      <w:rPr>
        <w:rFonts w:hint="default"/>
      </w:rPr>
    </w:lvl>
  </w:abstractNum>
  <w:abstractNum w:abstractNumId="1">
    <w:nsid w:val="9BD6FA99"/>
    <w:multiLevelType w:val="singleLevel"/>
    <w:tmpl w:val="9BD6FA99"/>
    <w:lvl w:ilvl="0" w:tentative="0">
      <w:start w:val="1"/>
      <w:numFmt w:val="decimal"/>
      <w:lvlText w:val="(%1)"/>
      <w:lvlJc w:val="left"/>
      <w:pPr>
        <w:tabs>
          <w:tab w:val="left" w:pos="454"/>
        </w:tabs>
        <w:ind w:left="454" w:firstLine="0"/>
      </w:pPr>
      <w:rPr>
        <w:rFonts w:hint="default" w:ascii="宋体" w:hAnsi="宋体" w:eastAsia="宋体" w:cs="宋体"/>
        <w:sz w:val="20"/>
        <w:szCs w:val="20"/>
      </w:rPr>
    </w:lvl>
  </w:abstractNum>
  <w:abstractNum w:abstractNumId="2">
    <w:nsid w:val="9C7198AA"/>
    <w:multiLevelType w:val="multilevel"/>
    <w:tmpl w:val="9C7198AA"/>
    <w:lvl w:ilvl="0" w:tentative="0">
      <w:start w:val="1"/>
      <w:numFmt w:val="decimal"/>
      <w:lvlText w:val="%1."/>
      <w:lvlJc w:val="left"/>
      <w:pPr>
        <w:ind w:left="207" w:hanging="181"/>
      </w:pPr>
      <w:rPr>
        <w:rFonts w:hint="default" w:ascii="Times New Roman" w:hAnsi="Times New Roman" w:eastAsia="Times New Roman" w:cs="Times New Roman"/>
        <w:w w:val="100"/>
        <w:sz w:val="22"/>
        <w:szCs w:val="22"/>
      </w:rPr>
    </w:lvl>
    <w:lvl w:ilvl="1" w:tentative="0">
      <w:start w:val="0"/>
      <w:numFmt w:val="bullet"/>
      <w:lvlText w:val="•"/>
      <w:lvlJc w:val="left"/>
      <w:pPr>
        <w:ind w:left="861" w:hanging="181"/>
      </w:pPr>
      <w:rPr>
        <w:rFonts w:hint="default"/>
      </w:rPr>
    </w:lvl>
    <w:lvl w:ilvl="2" w:tentative="0">
      <w:start w:val="0"/>
      <w:numFmt w:val="bullet"/>
      <w:lvlText w:val="•"/>
      <w:lvlJc w:val="left"/>
      <w:pPr>
        <w:ind w:left="1522" w:hanging="181"/>
      </w:pPr>
      <w:rPr>
        <w:rFonts w:hint="default"/>
      </w:rPr>
    </w:lvl>
    <w:lvl w:ilvl="3" w:tentative="0">
      <w:start w:val="0"/>
      <w:numFmt w:val="bullet"/>
      <w:lvlText w:val="•"/>
      <w:lvlJc w:val="left"/>
      <w:pPr>
        <w:ind w:left="2184" w:hanging="181"/>
      </w:pPr>
      <w:rPr>
        <w:rFonts w:hint="default"/>
      </w:rPr>
    </w:lvl>
    <w:lvl w:ilvl="4" w:tentative="0">
      <w:start w:val="0"/>
      <w:numFmt w:val="bullet"/>
      <w:lvlText w:val="•"/>
      <w:lvlJc w:val="left"/>
      <w:pPr>
        <w:ind w:left="2845" w:hanging="181"/>
      </w:pPr>
      <w:rPr>
        <w:rFonts w:hint="default"/>
      </w:rPr>
    </w:lvl>
    <w:lvl w:ilvl="5" w:tentative="0">
      <w:start w:val="0"/>
      <w:numFmt w:val="bullet"/>
      <w:lvlText w:val="•"/>
      <w:lvlJc w:val="left"/>
      <w:pPr>
        <w:ind w:left="3507" w:hanging="181"/>
      </w:pPr>
      <w:rPr>
        <w:rFonts w:hint="default"/>
      </w:rPr>
    </w:lvl>
    <w:lvl w:ilvl="6" w:tentative="0">
      <w:start w:val="0"/>
      <w:numFmt w:val="bullet"/>
      <w:lvlText w:val="•"/>
      <w:lvlJc w:val="left"/>
      <w:pPr>
        <w:ind w:left="4168" w:hanging="181"/>
      </w:pPr>
      <w:rPr>
        <w:rFonts w:hint="default"/>
      </w:rPr>
    </w:lvl>
    <w:lvl w:ilvl="7" w:tentative="0">
      <w:start w:val="0"/>
      <w:numFmt w:val="bullet"/>
      <w:lvlText w:val="•"/>
      <w:lvlJc w:val="left"/>
      <w:pPr>
        <w:ind w:left="4829" w:hanging="181"/>
      </w:pPr>
      <w:rPr>
        <w:rFonts w:hint="default"/>
      </w:rPr>
    </w:lvl>
    <w:lvl w:ilvl="8" w:tentative="0">
      <w:start w:val="0"/>
      <w:numFmt w:val="bullet"/>
      <w:lvlText w:val="•"/>
      <w:lvlJc w:val="left"/>
      <w:pPr>
        <w:ind w:left="5491" w:hanging="181"/>
      </w:pPr>
      <w:rPr>
        <w:rFonts w:hint="default"/>
      </w:rPr>
    </w:lvl>
  </w:abstractNum>
  <w:abstractNum w:abstractNumId="3">
    <w:nsid w:val="B01C3219"/>
    <w:multiLevelType w:val="singleLevel"/>
    <w:tmpl w:val="B01C3219"/>
    <w:lvl w:ilvl="0" w:tentative="0">
      <w:start w:val="1"/>
      <w:numFmt w:val="chineseCounting"/>
      <w:suff w:val="nothing"/>
      <w:lvlText w:val="%1、"/>
      <w:lvlJc w:val="left"/>
      <w:rPr>
        <w:rFonts w:hint="eastAsia"/>
      </w:rPr>
    </w:lvl>
  </w:abstractNum>
  <w:abstractNum w:abstractNumId="4">
    <w:nsid w:val="CD1CF303"/>
    <w:multiLevelType w:val="singleLevel"/>
    <w:tmpl w:val="CD1CF303"/>
    <w:lvl w:ilvl="0" w:tentative="0">
      <w:start w:val="1"/>
      <w:numFmt w:val="decimal"/>
      <w:lvlText w:val="%1."/>
      <w:lvlJc w:val="left"/>
      <w:pPr>
        <w:tabs>
          <w:tab w:val="left" w:pos="312"/>
        </w:tabs>
      </w:pPr>
    </w:lvl>
  </w:abstractNum>
  <w:abstractNum w:abstractNumId="5">
    <w:nsid w:val="DE63ED3B"/>
    <w:multiLevelType w:val="singleLevel"/>
    <w:tmpl w:val="DE63ED3B"/>
    <w:lvl w:ilvl="0" w:tentative="0">
      <w:start w:val="1"/>
      <w:numFmt w:val="decimal"/>
      <w:lvlText w:val="(%1)"/>
      <w:lvlJc w:val="left"/>
      <w:pPr>
        <w:tabs>
          <w:tab w:val="left" w:pos="454"/>
        </w:tabs>
        <w:ind w:left="454" w:firstLine="0"/>
      </w:pPr>
      <w:rPr>
        <w:rFonts w:hint="default"/>
      </w:rPr>
    </w:lvl>
  </w:abstractNum>
  <w:abstractNum w:abstractNumId="6">
    <w:nsid w:val="FB064CD1"/>
    <w:multiLevelType w:val="singleLevel"/>
    <w:tmpl w:val="FB064CD1"/>
    <w:lvl w:ilvl="0" w:tentative="0">
      <w:start w:val="1"/>
      <w:numFmt w:val="chineseCounting"/>
      <w:suff w:val="nothing"/>
      <w:lvlText w:val="%1、"/>
      <w:lvlJc w:val="left"/>
      <w:rPr>
        <w:rFonts w:hint="eastAsia"/>
      </w:rPr>
    </w:lvl>
  </w:abstractNum>
  <w:abstractNum w:abstractNumId="7">
    <w:nsid w:val="05C31750"/>
    <w:multiLevelType w:val="singleLevel"/>
    <w:tmpl w:val="05C31750"/>
    <w:lvl w:ilvl="0" w:tentative="0">
      <w:start w:val="1"/>
      <w:numFmt w:val="decimal"/>
      <w:lvlText w:val="(%1)"/>
      <w:lvlJc w:val="left"/>
      <w:pPr>
        <w:tabs>
          <w:tab w:val="left" w:pos="454"/>
        </w:tabs>
        <w:ind w:left="454" w:firstLine="0"/>
      </w:pPr>
      <w:rPr>
        <w:rFonts w:hint="default"/>
      </w:rPr>
    </w:lvl>
  </w:abstractNum>
  <w:abstractNum w:abstractNumId="8">
    <w:nsid w:val="12A742A3"/>
    <w:multiLevelType w:val="singleLevel"/>
    <w:tmpl w:val="12A742A3"/>
    <w:lvl w:ilvl="0" w:tentative="0">
      <w:start w:val="1"/>
      <w:numFmt w:val="decimal"/>
      <w:lvlText w:val="(%1)"/>
      <w:lvlJc w:val="left"/>
      <w:pPr>
        <w:tabs>
          <w:tab w:val="left" w:pos="454"/>
        </w:tabs>
        <w:ind w:left="454" w:firstLine="0"/>
      </w:pPr>
      <w:rPr>
        <w:rFonts w:hint="default"/>
      </w:rPr>
    </w:lvl>
  </w:abstractNum>
  <w:abstractNum w:abstractNumId="9">
    <w:nsid w:val="37DBDFCA"/>
    <w:multiLevelType w:val="singleLevel"/>
    <w:tmpl w:val="37DBDFCA"/>
    <w:lvl w:ilvl="0" w:tentative="0">
      <w:start w:val="1"/>
      <w:numFmt w:val="decimal"/>
      <w:lvlText w:val="(%1)"/>
      <w:lvlJc w:val="left"/>
      <w:pPr>
        <w:tabs>
          <w:tab w:val="left" w:pos="454"/>
        </w:tabs>
        <w:ind w:left="454" w:firstLine="0"/>
      </w:pPr>
      <w:rPr>
        <w:rFonts w:hint="default"/>
      </w:rPr>
    </w:lvl>
  </w:abstractNum>
  <w:abstractNum w:abstractNumId="10">
    <w:nsid w:val="47AF0121"/>
    <w:multiLevelType w:val="singleLevel"/>
    <w:tmpl w:val="47AF0121"/>
    <w:lvl w:ilvl="0" w:tentative="0">
      <w:start w:val="5"/>
      <w:numFmt w:val="chineseCounting"/>
      <w:suff w:val="space"/>
      <w:lvlText w:val="第%1章"/>
      <w:lvlJc w:val="left"/>
      <w:rPr>
        <w:rFonts w:hint="eastAsia"/>
      </w:rPr>
    </w:lvl>
  </w:abstractNum>
  <w:abstractNum w:abstractNumId="11">
    <w:nsid w:val="6E9405A1"/>
    <w:multiLevelType w:val="multilevel"/>
    <w:tmpl w:val="6E9405A1"/>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10"/>
  </w:num>
  <w:num w:numId="4">
    <w:abstractNumId w:val="2"/>
  </w:num>
  <w:num w:numId="5">
    <w:abstractNumId w:val="6"/>
  </w:num>
  <w:num w:numId="6">
    <w:abstractNumId w:val="4"/>
  </w:num>
  <w:num w:numId="7">
    <w:abstractNumId w:val="9"/>
  </w:num>
  <w:num w:numId="8">
    <w:abstractNumId w:val="5"/>
  </w:num>
  <w:num w:numId="9">
    <w:abstractNumId w:val="7"/>
  </w:num>
  <w:num w:numId="10">
    <w:abstractNumId w:val="1"/>
  </w:num>
  <w:num w:numId="11">
    <w:abstractNumId w:val="8"/>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in">
    <w15:presenceInfo w15:providerId="None" w15:userId="l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YmExMjc4ODk5Y2YzZmU5YjEzNjQ3NTQxYzcxOGUifQ=="/>
  </w:docVars>
  <w:rsids>
    <w:rsidRoot w:val="36017DB3"/>
    <w:rsid w:val="3601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adjustRightInd w:val="0"/>
      <w:spacing w:line="360" w:lineRule="atLeast"/>
      <w:ind w:firstLine="425"/>
      <w:jc w:val="left"/>
      <w:textAlignment w:val="baseline"/>
    </w:pPr>
    <w:rPr>
      <w:kern w:val="0"/>
    </w:rPr>
  </w:style>
  <w:style w:type="paragraph" w:styleId="5">
    <w:name w:val="Body Text"/>
    <w:basedOn w:val="1"/>
    <w:next w:val="1"/>
    <w:qFormat/>
    <w:uiPriority w:val="0"/>
    <w:pPr>
      <w:spacing w:after="120" w:afterLines="0"/>
    </w:pPr>
    <w:rPr>
      <w:szCs w:val="24"/>
    </w:rPr>
  </w:style>
  <w:style w:type="paragraph" w:styleId="6">
    <w:name w:val="Date"/>
    <w:basedOn w:val="1"/>
    <w:next w:val="1"/>
    <w:uiPriority w:val="0"/>
    <w:rPr>
      <w:sz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4"/>
    <w:basedOn w:val="1"/>
    <w:next w:val="1"/>
    <w:qFormat/>
    <w:uiPriority w:val="0"/>
    <w:pPr>
      <w:ind w:left="1260" w:leftChars="600"/>
    </w:pPr>
    <w:rPr>
      <w:rFonts w:ascii="Calibri" w:hAnsi="Calibri"/>
      <w:szCs w:val="22"/>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
    <w:name w:val="正文3"/>
    <w:basedOn w:val="1"/>
    <w:qFormat/>
    <w:uiPriority w:val="0"/>
    <w:pPr>
      <w:spacing w:line="360" w:lineRule="auto"/>
    </w:pPr>
    <w:rPr>
      <w:rFonts w:ascii="宋体" w:hAnsi="宋体"/>
      <w:sz w:val="24"/>
      <w:szCs w:val="24"/>
    </w:rPr>
  </w:style>
  <w:style w:type="paragraph" w:customStyle="1" w:styleId="14">
    <w:name w:val="Table Paragraph"/>
    <w:basedOn w:val="1"/>
    <w:qFormat/>
    <w:uiPriority w:val="1"/>
    <w:rPr>
      <w:rFonts w:ascii="宋体" w:hAnsi="宋体" w:eastAsia="宋体" w:cs="宋体"/>
    </w:rPr>
  </w:style>
  <w:style w:type="paragraph" w:customStyle="1" w:styleId="15">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2023-01-16T09:23:00Z</dcterms:created>
  <dc:creator>lvxiyuan</dc:creator>
  <cp:lastModifiedBy>lvxiyuan</cp:lastModifiedBy>
  <dcterms:modified xsi:type="dcterms:W3CDTF">2023-01-16T09:24:53Z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108872C36D244474BEA656CFA5BE3796</vt:lpwstr>
  </property>
</Properties>
</file>